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Ind w:w="5" w:type="dxa"/>
        <w:tblLayout w:type="fixed"/>
        <w:tblLook w:val="04A0" w:firstRow="1" w:lastRow="0" w:firstColumn="1" w:lastColumn="0" w:noHBand="0" w:noVBand="1"/>
      </w:tblPr>
      <w:tblGrid>
        <w:gridCol w:w="567"/>
        <w:gridCol w:w="2835"/>
        <w:gridCol w:w="6237"/>
      </w:tblGrid>
      <w:tr w:rsidR="00EB028C" w:rsidTr="00ED5EC1">
        <w:trPr>
          <w:trHeight w:val="253"/>
        </w:trPr>
        <w:tc>
          <w:tcPr>
            <w:tcW w:w="567" w:type="dxa"/>
            <w:tcBorders>
              <w:top w:val="nil"/>
              <w:left w:val="nil"/>
              <w:bottom w:val="nil"/>
              <w:right w:val="nil"/>
            </w:tcBorders>
          </w:tcPr>
          <w:p w:rsidR="00EB028C" w:rsidRDefault="00EB028C" w:rsidP="00ED5EC1">
            <w:pPr>
              <w:spacing w:line="0" w:lineRule="atLeast"/>
              <w:rPr>
                <w:rFonts w:ascii="Times New Roman" w:eastAsia="Times New Roman" w:hAnsi="Times New Roman"/>
                <w:sz w:val="21"/>
              </w:rPr>
            </w:pPr>
          </w:p>
        </w:tc>
        <w:tc>
          <w:tcPr>
            <w:tcW w:w="2835" w:type="dxa"/>
            <w:tcBorders>
              <w:top w:val="nil"/>
              <w:left w:val="nil"/>
              <w:bottom w:val="nil"/>
              <w:right w:val="nil"/>
            </w:tcBorders>
          </w:tcPr>
          <w:p w:rsidR="00EB028C" w:rsidRDefault="00EB028C" w:rsidP="00ED5EC1">
            <w:pPr>
              <w:spacing w:line="0" w:lineRule="atLeast"/>
              <w:rPr>
                <w:rFonts w:ascii="Times New Roman" w:eastAsia="Times New Roman" w:hAnsi="Times New Roman"/>
                <w:sz w:val="21"/>
              </w:rPr>
            </w:pPr>
          </w:p>
        </w:tc>
        <w:tc>
          <w:tcPr>
            <w:tcW w:w="6237" w:type="dxa"/>
            <w:tcBorders>
              <w:top w:val="nil"/>
              <w:left w:val="nil"/>
              <w:bottom w:val="nil"/>
              <w:right w:val="nil"/>
            </w:tcBorders>
          </w:tcPr>
          <w:p w:rsidR="00EB028C" w:rsidRPr="00214691" w:rsidRDefault="00EB028C" w:rsidP="00185C0D">
            <w:pPr>
              <w:pStyle w:val="Titolo1"/>
              <w:outlineLvl w:val="0"/>
              <w:rPr>
                <w:rFonts w:eastAsia="Arial"/>
              </w:rPr>
            </w:pPr>
            <w:r w:rsidRPr="005B0ADA">
              <w:rPr>
                <w:rFonts w:eastAsia="Arial"/>
                <w:sz w:val="24"/>
                <w:szCs w:val="24"/>
              </w:rPr>
              <w:t xml:space="preserve">Scheda </w:t>
            </w:r>
            <w:r>
              <w:rPr>
                <w:rFonts w:eastAsia="Arial"/>
                <w:sz w:val="24"/>
                <w:szCs w:val="24"/>
              </w:rPr>
              <w:t>bando</w:t>
            </w:r>
            <w:r w:rsidRPr="00214691">
              <w:rPr>
                <w:rFonts w:eastAsia="Arial"/>
              </w:rPr>
              <w:t xml:space="preserve"> </w:t>
            </w:r>
            <w:r w:rsidR="007345FD" w:rsidRPr="007345FD">
              <w:rPr>
                <w:rFonts w:eastAsia="Arial"/>
                <w:sz w:val="24"/>
                <w:szCs w:val="24"/>
              </w:rPr>
              <w:t>SL</w:t>
            </w:r>
            <w:r w:rsidR="008B6440">
              <w:rPr>
                <w:rFonts w:eastAsia="Arial"/>
                <w:sz w:val="24"/>
                <w:szCs w:val="24"/>
              </w:rPr>
              <w:t>.2.3</w:t>
            </w:r>
          </w:p>
        </w:tc>
      </w:tr>
      <w:tr w:rsidR="00EB028C" w:rsidTr="00ED5EC1">
        <w:trPr>
          <w:trHeight w:val="357"/>
        </w:trPr>
        <w:tc>
          <w:tcPr>
            <w:tcW w:w="567" w:type="dxa"/>
            <w:tcBorders>
              <w:top w:val="nil"/>
              <w:left w:val="nil"/>
              <w:bottom w:val="single" w:sz="4" w:space="0" w:color="auto"/>
              <w:right w:val="nil"/>
            </w:tcBorders>
          </w:tcPr>
          <w:p w:rsidR="00EB028C" w:rsidRDefault="00EB028C" w:rsidP="00ED5EC1">
            <w:pPr>
              <w:spacing w:line="0" w:lineRule="atLeast"/>
              <w:rPr>
                <w:rFonts w:ascii="Times New Roman" w:eastAsia="Times New Roman" w:hAnsi="Times New Roman"/>
                <w:sz w:val="24"/>
              </w:rPr>
            </w:pPr>
          </w:p>
        </w:tc>
        <w:tc>
          <w:tcPr>
            <w:tcW w:w="2835" w:type="dxa"/>
            <w:tcBorders>
              <w:top w:val="nil"/>
              <w:left w:val="nil"/>
              <w:bottom w:val="single" w:sz="4" w:space="0" w:color="auto"/>
              <w:right w:val="nil"/>
            </w:tcBorders>
          </w:tcPr>
          <w:p w:rsidR="00EB028C" w:rsidRDefault="00EB028C" w:rsidP="00ED5EC1">
            <w:pPr>
              <w:spacing w:line="0" w:lineRule="atLeast"/>
              <w:rPr>
                <w:rFonts w:ascii="Times New Roman" w:eastAsia="Times New Roman" w:hAnsi="Times New Roman"/>
                <w:sz w:val="24"/>
              </w:rPr>
            </w:pPr>
          </w:p>
        </w:tc>
        <w:tc>
          <w:tcPr>
            <w:tcW w:w="6237" w:type="dxa"/>
            <w:tcBorders>
              <w:top w:val="nil"/>
              <w:left w:val="nil"/>
              <w:bottom w:val="single" w:sz="4" w:space="0" w:color="auto"/>
              <w:right w:val="nil"/>
            </w:tcBorders>
          </w:tcPr>
          <w:p w:rsidR="00EB028C" w:rsidRDefault="00EB028C" w:rsidP="00ED5EC1">
            <w:pPr>
              <w:spacing w:line="0" w:lineRule="atLeast"/>
              <w:rPr>
                <w:rFonts w:ascii="Times New Roman" w:eastAsia="Times New Roman" w:hAnsi="Times New Roman"/>
                <w:sz w:val="24"/>
              </w:rPr>
            </w:pPr>
          </w:p>
        </w:tc>
      </w:tr>
      <w:tr w:rsidR="00EB028C" w:rsidTr="00ED5EC1">
        <w:tc>
          <w:tcPr>
            <w:tcW w:w="567" w:type="dxa"/>
            <w:tcBorders>
              <w:top w:val="single" w:sz="4" w:space="0" w:color="auto"/>
            </w:tcBorders>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1</w:t>
            </w:r>
          </w:p>
        </w:tc>
        <w:tc>
          <w:tcPr>
            <w:tcW w:w="2835" w:type="dxa"/>
            <w:tcBorders>
              <w:top w:val="single" w:sz="4" w:space="0" w:color="auto"/>
            </w:tcBorders>
          </w:tcPr>
          <w:p w:rsidR="00EB028C" w:rsidRDefault="00EB028C" w:rsidP="00ED5EC1">
            <w:pPr>
              <w:spacing w:line="232" w:lineRule="auto"/>
              <w:ind w:left="113" w:right="113"/>
              <w:rPr>
                <w:rFonts w:ascii="Arial" w:eastAsia="Arial" w:hAnsi="Arial"/>
                <w:b/>
                <w:sz w:val="22"/>
              </w:rPr>
            </w:pPr>
            <w:r>
              <w:rPr>
                <w:rFonts w:ascii="Arial" w:eastAsia="Arial" w:hAnsi="Arial"/>
                <w:b/>
                <w:sz w:val="16"/>
              </w:rPr>
              <w:t>Codice intervento e Titolo</w:t>
            </w:r>
          </w:p>
        </w:tc>
        <w:tc>
          <w:tcPr>
            <w:tcW w:w="6237" w:type="dxa"/>
            <w:tcBorders>
              <w:top w:val="single" w:sz="4" w:space="0" w:color="auto"/>
            </w:tcBorders>
          </w:tcPr>
          <w:p w:rsidR="00EB028C" w:rsidRPr="007345FD" w:rsidRDefault="008B6440" w:rsidP="00000315">
            <w:pPr>
              <w:spacing w:line="232" w:lineRule="auto"/>
              <w:ind w:right="113"/>
              <w:jc w:val="both"/>
              <w:rPr>
                <w:rFonts w:ascii="Arial" w:eastAsia="Arial" w:hAnsi="Arial"/>
                <w:b/>
                <w:sz w:val="22"/>
              </w:rPr>
            </w:pPr>
            <w:r>
              <w:rPr>
                <w:rFonts w:ascii="Arial" w:hAnsi="Arial"/>
                <w:b/>
                <w:color w:val="000000"/>
                <w:sz w:val="16"/>
                <w:szCs w:val="16"/>
              </w:rPr>
              <w:t>SL.2.3</w:t>
            </w:r>
            <w:r w:rsidR="00C27D39">
              <w:rPr>
                <w:rFonts w:ascii="Arial" w:hAnsi="Arial"/>
                <w:b/>
                <w:color w:val="000000"/>
                <w:sz w:val="16"/>
                <w:szCs w:val="16"/>
              </w:rPr>
              <w:t xml:space="preserve"> </w:t>
            </w:r>
            <w:r w:rsidR="001E7C32" w:rsidRPr="001E7C32">
              <w:rPr>
                <w:rFonts w:ascii="Arial" w:hAnsi="Arial"/>
                <w:b/>
                <w:color w:val="000000"/>
                <w:sz w:val="16"/>
                <w:szCs w:val="16"/>
              </w:rPr>
              <w:t>Sostegno agli investimenti per il miglioramento delle prestazioni e della sostenibilità globale delle aziende agricole, la trasformazione, commercializzazione e/o lo sviluppo dei prodotti agricoli.</w:t>
            </w:r>
            <w:r w:rsidR="00C31E49">
              <w:rPr>
                <w:rFonts w:ascii="Arial" w:hAnsi="Arial"/>
                <w:b/>
                <w:color w:val="000000"/>
                <w:sz w:val="16"/>
                <w:szCs w:val="16"/>
              </w:rPr>
              <w:t xml:space="preserve"> </w:t>
            </w:r>
          </w:p>
        </w:tc>
      </w:tr>
      <w:tr w:rsidR="00EB028C" w:rsidTr="00ED5EC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2</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Obiettivo</w:t>
            </w:r>
          </w:p>
        </w:tc>
        <w:tc>
          <w:tcPr>
            <w:tcW w:w="6237" w:type="dxa"/>
          </w:tcPr>
          <w:p w:rsidR="007F7577" w:rsidRDefault="00000315" w:rsidP="00EB2A94">
            <w:pPr>
              <w:ind w:right="151"/>
              <w:jc w:val="both"/>
              <w:rPr>
                <w:rFonts w:ascii="Arial" w:eastAsia="Arial" w:hAnsi="Arial"/>
                <w:sz w:val="16"/>
                <w:szCs w:val="16"/>
              </w:rPr>
            </w:pPr>
            <w:r>
              <w:rPr>
                <w:rFonts w:ascii="Arial" w:eastAsia="Arial" w:hAnsi="Arial"/>
                <w:sz w:val="16"/>
                <w:szCs w:val="16"/>
              </w:rPr>
              <w:t>La Strategia d’Area inserisce il presente intervento nel quadro della macro azione dedicata al potenziamento della filiera agro-</w:t>
            </w:r>
            <w:proofErr w:type="spellStart"/>
            <w:r>
              <w:rPr>
                <w:rFonts w:ascii="Arial" w:eastAsia="Arial" w:hAnsi="Arial"/>
                <w:sz w:val="16"/>
                <w:szCs w:val="16"/>
              </w:rPr>
              <w:t>silvo</w:t>
            </w:r>
            <w:proofErr w:type="spellEnd"/>
            <w:r>
              <w:rPr>
                <w:rFonts w:ascii="Arial" w:eastAsia="Arial" w:hAnsi="Arial"/>
                <w:sz w:val="16"/>
                <w:szCs w:val="16"/>
              </w:rPr>
              <w:t xml:space="preserve">-pastorale, mezzo per rafforzare l’offerta agroalimentare e le produzioni di qualità. In particolare, l’intervento in questione si articola su due principali canali: da un lato, si vogliono favorire gli </w:t>
            </w:r>
            <w:r w:rsidRPr="00000315">
              <w:rPr>
                <w:rFonts w:ascii="Arial" w:eastAsia="Arial" w:hAnsi="Arial"/>
                <w:sz w:val="16"/>
                <w:szCs w:val="16"/>
              </w:rPr>
              <w:t>investimenti per il miglioramento</w:t>
            </w:r>
            <w:r>
              <w:rPr>
                <w:rFonts w:ascii="Arial" w:eastAsia="Arial" w:hAnsi="Arial"/>
                <w:sz w:val="16"/>
                <w:szCs w:val="16"/>
              </w:rPr>
              <w:t xml:space="preserve"> </w:t>
            </w:r>
            <w:r w:rsidRPr="00000315">
              <w:rPr>
                <w:rFonts w:ascii="Arial" w:eastAsia="Arial" w:hAnsi="Arial"/>
                <w:sz w:val="16"/>
                <w:szCs w:val="16"/>
              </w:rPr>
              <w:t>delle prestazioni e della sostenibilità globale delle aziende agricole,</w:t>
            </w:r>
            <w:r>
              <w:rPr>
                <w:rFonts w:ascii="Arial" w:eastAsia="Arial" w:hAnsi="Arial"/>
                <w:sz w:val="16"/>
                <w:szCs w:val="16"/>
              </w:rPr>
              <w:t xml:space="preserve"> dall’altro, </w:t>
            </w:r>
            <w:r w:rsidR="00EB2A94">
              <w:rPr>
                <w:rFonts w:ascii="Arial" w:eastAsia="Arial" w:hAnsi="Arial"/>
                <w:sz w:val="16"/>
                <w:szCs w:val="16"/>
              </w:rPr>
              <w:t xml:space="preserve">si intende favorire </w:t>
            </w:r>
            <w:r w:rsidR="00EB2A94" w:rsidRPr="00EB2A94">
              <w:rPr>
                <w:rFonts w:ascii="Arial" w:eastAsia="Arial" w:hAnsi="Arial"/>
                <w:sz w:val="16"/>
                <w:szCs w:val="16"/>
              </w:rPr>
              <w:t>la trasformazione, la</w:t>
            </w:r>
            <w:r w:rsidR="00EB2A94">
              <w:rPr>
                <w:rFonts w:ascii="Arial" w:eastAsia="Arial" w:hAnsi="Arial"/>
                <w:sz w:val="16"/>
                <w:szCs w:val="16"/>
              </w:rPr>
              <w:t xml:space="preserve"> </w:t>
            </w:r>
            <w:r w:rsidR="00EB2A94" w:rsidRPr="00EB2A94">
              <w:rPr>
                <w:rFonts w:ascii="Arial" w:eastAsia="Arial" w:hAnsi="Arial"/>
                <w:sz w:val="16"/>
                <w:szCs w:val="16"/>
              </w:rPr>
              <w:t xml:space="preserve">commercializzazione e lo sviluppo dei prodotti agricoli </w:t>
            </w:r>
            <w:r w:rsidR="00EB2A94">
              <w:rPr>
                <w:rFonts w:ascii="Arial" w:eastAsia="Arial" w:hAnsi="Arial"/>
                <w:sz w:val="16"/>
                <w:szCs w:val="16"/>
              </w:rPr>
              <w:t>insieme al</w:t>
            </w:r>
            <w:r w:rsidR="00EB2A94" w:rsidRPr="00EB2A94">
              <w:rPr>
                <w:rFonts w:ascii="Arial" w:eastAsia="Arial" w:hAnsi="Arial"/>
                <w:sz w:val="16"/>
                <w:szCs w:val="16"/>
              </w:rPr>
              <w:t xml:space="preserve">la realizzazione di progetti pilota per </w:t>
            </w:r>
            <w:r w:rsidR="00EB2A94">
              <w:rPr>
                <w:rFonts w:ascii="Arial" w:eastAsia="Arial" w:hAnsi="Arial"/>
                <w:sz w:val="16"/>
                <w:szCs w:val="16"/>
              </w:rPr>
              <w:t xml:space="preserve">la creazione </w:t>
            </w:r>
            <w:r w:rsidR="00EB2A94" w:rsidRPr="00EB2A94">
              <w:rPr>
                <w:rFonts w:ascii="Arial" w:eastAsia="Arial" w:hAnsi="Arial"/>
                <w:sz w:val="16"/>
                <w:szCs w:val="16"/>
              </w:rPr>
              <w:t>di nuovi prodotti, pratiche, processi e</w:t>
            </w:r>
            <w:r w:rsidR="00EB2A94">
              <w:rPr>
                <w:rFonts w:ascii="Arial" w:eastAsia="Arial" w:hAnsi="Arial"/>
                <w:sz w:val="16"/>
                <w:szCs w:val="16"/>
              </w:rPr>
              <w:t xml:space="preserve"> </w:t>
            </w:r>
            <w:r w:rsidR="00EB2A94" w:rsidRPr="00EB2A94">
              <w:rPr>
                <w:rFonts w:ascii="Arial" w:eastAsia="Arial" w:hAnsi="Arial"/>
                <w:sz w:val="16"/>
                <w:szCs w:val="16"/>
              </w:rPr>
              <w:t>tecnologie,</w:t>
            </w:r>
            <w:r w:rsidR="00EB2A94">
              <w:rPr>
                <w:rFonts w:ascii="Arial" w:eastAsia="Arial" w:hAnsi="Arial"/>
                <w:sz w:val="16"/>
                <w:szCs w:val="16"/>
              </w:rPr>
              <w:t xml:space="preserve"> al fine di costituire un vero e proprio </w:t>
            </w:r>
            <w:r w:rsidR="00EB2A94" w:rsidRPr="00EB2A94">
              <w:rPr>
                <w:rFonts w:ascii="Arial" w:eastAsia="Arial" w:hAnsi="Arial"/>
                <w:sz w:val="16"/>
                <w:szCs w:val="16"/>
              </w:rPr>
              <w:t xml:space="preserve">“paniere alimentare della </w:t>
            </w:r>
            <w:proofErr w:type="spellStart"/>
            <w:r w:rsidR="00EB2A94" w:rsidRPr="00EB2A94">
              <w:rPr>
                <w:rFonts w:ascii="Arial" w:eastAsia="Arial" w:hAnsi="Arial"/>
                <w:sz w:val="16"/>
                <w:szCs w:val="16"/>
              </w:rPr>
              <w:t>Valnerina</w:t>
            </w:r>
            <w:proofErr w:type="spellEnd"/>
            <w:r w:rsidR="00EB2A94" w:rsidRPr="00EB2A94">
              <w:rPr>
                <w:rFonts w:ascii="Arial" w:eastAsia="Arial" w:hAnsi="Arial"/>
                <w:sz w:val="16"/>
                <w:szCs w:val="16"/>
              </w:rPr>
              <w:t>”.</w:t>
            </w:r>
          </w:p>
          <w:p w:rsidR="00EB2A94" w:rsidRDefault="00EB2A94" w:rsidP="0084176D">
            <w:pPr>
              <w:ind w:right="151"/>
              <w:jc w:val="both"/>
              <w:rPr>
                <w:rFonts w:ascii="Arial" w:eastAsia="Arial" w:hAnsi="Arial"/>
                <w:sz w:val="16"/>
                <w:szCs w:val="16"/>
              </w:rPr>
            </w:pPr>
            <w:r>
              <w:rPr>
                <w:rFonts w:ascii="Arial" w:eastAsia="Arial" w:hAnsi="Arial"/>
                <w:sz w:val="16"/>
                <w:szCs w:val="16"/>
              </w:rPr>
              <w:t xml:space="preserve">In particolare, la prima linea di attività supporta </w:t>
            </w:r>
            <w:r w:rsidRPr="00EB2A94">
              <w:rPr>
                <w:rFonts w:ascii="Arial" w:eastAsia="Arial" w:hAnsi="Arial"/>
                <w:sz w:val="16"/>
                <w:szCs w:val="16"/>
              </w:rPr>
              <w:t>il rinnovamento delle strutture esistenti e l'ammodernamento tecnologico delle dotazioni produttive per innovare e consolidare la posizione delle imprese del settore agricolo e agroalimentare sul mercato.</w:t>
            </w:r>
            <w:r w:rsidR="0084176D">
              <w:rPr>
                <w:rFonts w:ascii="Arial" w:eastAsia="Arial" w:hAnsi="Arial"/>
                <w:sz w:val="16"/>
                <w:szCs w:val="16"/>
              </w:rPr>
              <w:t xml:space="preserve"> L’obiettivo di questa operazione è quello di rafforzare e valorizzare </w:t>
            </w:r>
            <w:r w:rsidR="0084176D" w:rsidRPr="0084176D">
              <w:rPr>
                <w:rFonts w:ascii="Arial" w:eastAsia="Arial" w:hAnsi="Arial"/>
                <w:sz w:val="16"/>
                <w:szCs w:val="16"/>
              </w:rPr>
              <w:t>tutta la produzione di qualità agricola e agroalimentare</w:t>
            </w:r>
            <w:r w:rsidR="0084176D">
              <w:rPr>
                <w:rFonts w:ascii="Arial" w:eastAsia="Arial" w:hAnsi="Arial"/>
                <w:sz w:val="16"/>
                <w:szCs w:val="16"/>
              </w:rPr>
              <w:t xml:space="preserve">, aumentando l’efficienza dei fattori produttivi, garantendo la sicurezza dei luoghi di lavoro e il rispetto dell’ambiente. </w:t>
            </w:r>
          </w:p>
          <w:p w:rsidR="0084176D" w:rsidRPr="00000315" w:rsidRDefault="0084176D" w:rsidP="008A03A4">
            <w:pPr>
              <w:ind w:right="151"/>
              <w:jc w:val="both"/>
              <w:rPr>
                <w:rFonts w:ascii="Arial" w:eastAsia="Arial" w:hAnsi="Arial"/>
                <w:sz w:val="16"/>
                <w:szCs w:val="16"/>
              </w:rPr>
            </w:pPr>
            <w:r>
              <w:rPr>
                <w:rFonts w:ascii="Arial" w:eastAsia="Arial" w:hAnsi="Arial"/>
                <w:sz w:val="16"/>
                <w:szCs w:val="16"/>
              </w:rPr>
              <w:t xml:space="preserve">La seconda linea di attività riconducibile all’intervento </w:t>
            </w:r>
            <w:r w:rsidR="00BC1E62">
              <w:rPr>
                <w:rFonts w:ascii="Arial" w:eastAsia="Arial" w:hAnsi="Arial"/>
                <w:sz w:val="16"/>
                <w:szCs w:val="16"/>
              </w:rPr>
              <w:t xml:space="preserve">intende </w:t>
            </w:r>
            <w:r w:rsidRPr="0084176D">
              <w:rPr>
                <w:rFonts w:ascii="Arial" w:eastAsia="Arial" w:hAnsi="Arial"/>
                <w:sz w:val="16"/>
                <w:szCs w:val="16"/>
              </w:rPr>
              <w:t xml:space="preserve">favorire proposte </w:t>
            </w:r>
            <w:r w:rsidR="00BC1E62">
              <w:rPr>
                <w:rFonts w:ascii="Arial" w:eastAsia="Arial" w:hAnsi="Arial"/>
                <w:sz w:val="16"/>
                <w:szCs w:val="16"/>
              </w:rPr>
              <w:t xml:space="preserve">legate alla </w:t>
            </w:r>
            <w:r w:rsidRPr="0084176D">
              <w:rPr>
                <w:rFonts w:ascii="Arial" w:eastAsia="Arial" w:hAnsi="Arial"/>
                <w:sz w:val="16"/>
                <w:szCs w:val="16"/>
              </w:rPr>
              <w:t>trasformazione e commercializzazione dei prodotti agricoli al fine di contribuire al consolidamento delle filiere agroalimentari ed allo sviluppo di nuovi prodotti.</w:t>
            </w:r>
            <w:r>
              <w:rPr>
                <w:rFonts w:ascii="Arial" w:eastAsia="Arial" w:hAnsi="Arial"/>
                <w:sz w:val="16"/>
                <w:szCs w:val="16"/>
              </w:rPr>
              <w:t xml:space="preserve"> </w:t>
            </w:r>
            <w:r w:rsidR="008A03A4" w:rsidRPr="008A03A4">
              <w:rPr>
                <w:rFonts w:ascii="Arial" w:eastAsia="Arial" w:hAnsi="Arial"/>
                <w:sz w:val="16"/>
                <w:szCs w:val="16"/>
              </w:rPr>
              <w:t>Il sostegno è rivolto anche ad interventi di razionalizzazione dei processi produttivi con lo scopo di accrescere la competitività delle imprese stesse in termini di riduzione dei costi di produzione.</w:t>
            </w:r>
            <w:r w:rsidR="008A03A4">
              <w:rPr>
                <w:rFonts w:ascii="Arial" w:eastAsia="Arial" w:hAnsi="Arial"/>
                <w:sz w:val="16"/>
                <w:szCs w:val="16"/>
              </w:rPr>
              <w:t xml:space="preserve"> </w:t>
            </w:r>
          </w:p>
        </w:tc>
      </w:tr>
      <w:tr w:rsidR="00EB028C" w:rsidTr="00ED5EC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3</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Soggetti beneficiari</w:t>
            </w:r>
          </w:p>
        </w:tc>
        <w:tc>
          <w:tcPr>
            <w:tcW w:w="6237" w:type="dxa"/>
          </w:tcPr>
          <w:p w:rsidR="00214E30" w:rsidRDefault="00214E30" w:rsidP="00A9691A">
            <w:pPr>
              <w:pStyle w:val="Default"/>
              <w:jc w:val="both"/>
              <w:rPr>
                <w:rFonts w:ascii="Arial" w:hAnsi="Arial" w:cs="Arial"/>
                <w:color w:val="auto"/>
                <w:sz w:val="16"/>
                <w:szCs w:val="16"/>
              </w:rPr>
            </w:pPr>
            <w:r>
              <w:rPr>
                <w:rFonts w:ascii="Arial" w:hAnsi="Arial" w:cs="Arial"/>
                <w:color w:val="auto"/>
                <w:sz w:val="16"/>
                <w:szCs w:val="16"/>
              </w:rPr>
              <w:t>Possono ricevere il sostegno nell’ambito delle misure per migliorare le prestazioni e la sostenibilità globale delle aziende agricole:</w:t>
            </w:r>
          </w:p>
          <w:p w:rsidR="004C1C52" w:rsidRPr="00BF5EA5" w:rsidRDefault="00214E30" w:rsidP="003D781D">
            <w:pPr>
              <w:pStyle w:val="Default"/>
              <w:numPr>
                <w:ilvl w:val="0"/>
                <w:numId w:val="7"/>
              </w:numPr>
              <w:ind w:left="421" w:hanging="284"/>
              <w:jc w:val="both"/>
              <w:rPr>
                <w:rFonts w:ascii="Arial" w:hAnsi="Arial" w:cs="Arial"/>
                <w:color w:val="auto"/>
                <w:sz w:val="16"/>
                <w:szCs w:val="16"/>
              </w:rPr>
            </w:pPr>
            <w:proofErr w:type="gramStart"/>
            <w:r w:rsidRPr="00BF5EA5">
              <w:rPr>
                <w:rFonts w:ascii="Arial" w:hAnsi="Arial" w:cs="Arial"/>
                <w:color w:val="auto"/>
                <w:sz w:val="16"/>
                <w:szCs w:val="16"/>
              </w:rPr>
              <w:t>agricoltori</w:t>
            </w:r>
            <w:proofErr w:type="gramEnd"/>
            <w:r w:rsidRPr="00BF5EA5">
              <w:rPr>
                <w:rFonts w:ascii="Arial" w:hAnsi="Arial" w:cs="Arial"/>
                <w:color w:val="auto"/>
                <w:sz w:val="16"/>
                <w:szCs w:val="16"/>
              </w:rPr>
              <w:t>, persone fisiche e giuridiche ai sensi della vigente legislazione, singoli o associati che esercitino un'attività agricola come disposto dall’articolo 4, paragrafo 1, lettera a) del regolamento 1307/2013.</w:t>
            </w:r>
            <w:r w:rsidR="00BF5EA5" w:rsidRPr="00BF5EA5">
              <w:rPr>
                <w:rFonts w:ascii="Arial" w:hAnsi="Arial" w:cs="Arial"/>
                <w:color w:val="auto"/>
                <w:sz w:val="16"/>
                <w:szCs w:val="16"/>
              </w:rPr>
              <w:t xml:space="preserve"> Tali soggetti devono essere titolari di un azienda agricola in qualità di proprietari, usufruttuari o affittuari, titolari di P. IVA con codice di attività agricolo, essere iscritti alla CCIAA e dimostrare che gli investimenti da realizzare migliorano le prestazioni e la sostenibilità globali dell’azienda agricola.</w:t>
            </w:r>
          </w:p>
          <w:p w:rsidR="00214E30" w:rsidRDefault="00214E30" w:rsidP="00214E30">
            <w:pPr>
              <w:pStyle w:val="Default"/>
              <w:jc w:val="both"/>
              <w:rPr>
                <w:rFonts w:ascii="Arial" w:hAnsi="Arial" w:cs="Arial"/>
                <w:color w:val="auto"/>
                <w:sz w:val="16"/>
                <w:szCs w:val="16"/>
              </w:rPr>
            </w:pPr>
          </w:p>
          <w:p w:rsidR="00214E30" w:rsidRDefault="00214E30" w:rsidP="00214E30">
            <w:pPr>
              <w:pStyle w:val="Default"/>
              <w:jc w:val="both"/>
              <w:rPr>
                <w:rFonts w:ascii="Arial" w:hAnsi="Arial" w:cs="Arial"/>
                <w:color w:val="auto"/>
                <w:sz w:val="16"/>
                <w:szCs w:val="16"/>
              </w:rPr>
            </w:pPr>
            <w:r>
              <w:rPr>
                <w:rFonts w:ascii="Arial" w:hAnsi="Arial" w:cs="Arial"/>
                <w:color w:val="auto"/>
                <w:sz w:val="16"/>
                <w:szCs w:val="16"/>
              </w:rPr>
              <w:t>Possono ricevere il sostegno nell’ambito degli interventi legati alla trasformazione, commercializzazione, sviluppo di prodotti agricoli:</w:t>
            </w:r>
          </w:p>
          <w:p w:rsidR="00EB028C" w:rsidRDefault="00964EDC" w:rsidP="003D781D">
            <w:pPr>
              <w:pStyle w:val="Default"/>
              <w:numPr>
                <w:ilvl w:val="0"/>
                <w:numId w:val="7"/>
              </w:numPr>
              <w:ind w:left="421" w:hanging="284"/>
              <w:jc w:val="both"/>
              <w:rPr>
                <w:rFonts w:ascii="Arial" w:hAnsi="Arial" w:cs="Arial"/>
                <w:color w:val="auto"/>
                <w:sz w:val="16"/>
                <w:szCs w:val="16"/>
              </w:rPr>
            </w:pPr>
            <w:proofErr w:type="gramStart"/>
            <w:r w:rsidRPr="00964EDC">
              <w:rPr>
                <w:rFonts w:ascii="Arial" w:hAnsi="Arial" w:cs="Arial"/>
                <w:color w:val="auto"/>
                <w:sz w:val="16"/>
                <w:szCs w:val="16"/>
              </w:rPr>
              <w:t>le</w:t>
            </w:r>
            <w:proofErr w:type="gramEnd"/>
            <w:r w:rsidRPr="00964EDC">
              <w:rPr>
                <w:rFonts w:ascii="Arial" w:hAnsi="Arial" w:cs="Arial"/>
                <w:color w:val="auto"/>
                <w:sz w:val="16"/>
                <w:szCs w:val="16"/>
              </w:rPr>
              <w:t xml:space="preserve"> imprese, singole o associate, che svolgono attività di trasformazione, commercializzazione e/o sviluppo di prodotti agricoli a condizione che l’unità locale in cui viene realizzato l’intervento ricada nel territorio regionale.</w:t>
            </w:r>
            <w:r w:rsidR="00A74E03">
              <w:rPr>
                <w:rFonts w:ascii="Arial" w:hAnsi="Arial" w:cs="Arial"/>
                <w:color w:val="auto"/>
                <w:sz w:val="16"/>
                <w:szCs w:val="16"/>
              </w:rPr>
              <w:t xml:space="preserve"> Deve trattarsi di soggetti giuridici </w:t>
            </w:r>
            <w:r w:rsidR="00A74E03" w:rsidRPr="00A74E03">
              <w:rPr>
                <w:rFonts w:ascii="Arial" w:hAnsi="Arial" w:cs="Arial"/>
                <w:color w:val="auto"/>
                <w:sz w:val="16"/>
                <w:szCs w:val="16"/>
              </w:rPr>
              <w:t>titolari di partita IVA e iscritti alla competente CCIAA con attività istituzionale pertinente</w:t>
            </w:r>
            <w:r w:rsidR="00A74E03">
              <w:rPr>
                <w:rFonts w:ascii="Arial" w:hAnsi="Arial" w:cs="Arial"/>
                <w:color w:val="auto"/>
                <w:sz w:val="16"/>
                <w:szCs w:val="16"/>
              </w:rPr>
              <w:t>.</w:t>
            </w:r>
          </w:p>
          <w:p w:rsidR="00964EDC" w:rsidRPr="00467EAD" w:rsidRDefault="00964EDC" w:rsidP="00964EDC">
            <w:pPr>
              <w:pStyle w:val="Default"/>
              <w:ind w:left="421"/>
              <w:jc w:val="both"/>
              <w:rPr>
                <w:rFonts w:ascii="Arial" w:hAnsi="Arial" w:cs="Arial"/>
                <w:color w:val="auto"/>
                <w:sz w:val="16"/>
                <w:szCs w:val="16"/>
              </w:rPr>
            </w:pPr>
          </w:p>
        </w:tc>
      </w:tr>
      <w:tr w:rsidR="00EB028C" w:rsidTr="00ED5EC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4</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CUP</w:t>
            </w:r>
          </w:p>
        </w:tc>
        <w:tc>
          <w:tcPr>
            <w:tcW w:w="6237" w:type="dxa"/>
          </w:tcPr>
          <w:p w:rsidR="00EB028C" w:rsidRDefault="00EB028C" w:rsidP="00ED5EC1">
            <w:pPr>
              <w:spacing w:line="232" w:lineRule="auto"/>
              <w:ind w:left="113" w:right="113"/>
              <w:rPr>
                <w:rFonts w:ascii="Arial" w:eastAsia="Arial" w:hAnsi="Arial"/>
                <w:b/>
                <w:sz w:val="22"/>
              </w:rPr>
            </w:pPr>
          </w:p>
        </w:tc>
      </w:tr>
      <w:tr w:rsidR="00EB028C" w:rsidTr="00ED5EC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5</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Dotazione finanziaria</w:t>
            </w:r>
          </w:p>
        </w:tc>
        <w:tc>
          <w:tcPr>
            <w:tcW w:w="6237" w:type="dxa"/>
          </w:tcPr>
          <w:p w:rsidR="00EB028C" w:rsidRDefault="00467EAD" w:rsidP="00ED5EC1">
            <w:pPr>
              <w:spacing w:line="232" w:lineRule="auto"/>
              <w:ind w:left="113" w:right="113"/>
              <w:rPr>
                <w:rFonts w:ascii="Arial" w:eastAsia="Arial" w:hAnsi="Arial"/>
                <w:b/>
                <w:sz w:val="22"/>
              </w:rPr>
            </w:pPr>
            <w:r>
              <w:rPr>
                <w:rFonts w:ascii="Arial" w:hAnsi="Arial"/>
                <w:color w:val="000000"/>
                <w:sz w:val="16"/>
                <w:szCs w:val="16"/>
              </w:rPr>
              <w:t>Fino a €</w:t>
            </w:r>
            <w:r w:rsidR="00BD49C3">
              <w:rPr>
                <w:rFonts w:ascii="Arial" w:hAnsi="Arial"/>
                <w:color w:val="000000"/>
                <w:sz w:val="16"/>
                <w:szCs w:val="16"/>
              </w:rPr>
              <w:t xml:space="preserve"> </w:t>
            </w:r>
            <w:r w:rsidR="00964EDC">
              <w:rPr>
                <w:rFonts w:ascii="Arial" w:hAnsi="Arial"/>
                <w:color w:val="000000"/>
                <w:sz w:val="16"/>
                <w:szCs w:val="16"/>
              </w:rPr>
              <w:t>9</w:t>
            </w:r>
            <w:r w:rsidR="007345FD" w:rsidRPr="007345FD">
              <w:rPr>
                <w:rFonts w:ascii="Arial" w:hAnsi="Arial"/>
                <w:color w:val="000000"/>
                <w:sz w:val="16"/>
                <w:szCs w:val="16"/>
              </w:rPr>
              <w:t>00.000,00 quale quota parte dei € 4.366.979,16 messi a disposizione dell’area interna nell’ambito delle misure del PSR</w:t>
            </w:r>
          </w:p>
        </w:tc>
      </w:tr>
      <w:tr w:rsidR="00EB028C" w:rsidTr="00ED5EC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6</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Fonte finanziaria</w:t>
            </w:r>
          </w:p>
        </w:tc>
        <w:tc>
          <w:tcPr>
            <w:tcW w:w="6237" w:type="dxa"/>
          </w:tcPr>
          <w:p w:rsidR="00EB028C" w:rsidRDefault="00C27D39" w:rsidP="00964EDC">
            <w:pPr>
              <w:spacing w:line="232" w:lineRule="auto"/>
              <w:ind w:left="113" w:right="113"/>
              <w:rPr>
                <w:rFonts w:ascii="Arial" w:eastAsia="Arial" w:hAnsi="Arial"/>
                <w:b/>
                <w:sz w:val="22"/>
              </w:rPr>
            </w:pPr>
            <w:r>
              <w:rPr>
                <w:rFonts w:ascii="Arial" w:hAnsi="Arial"/>
                <w:color w:val="000000"/>
                <w:sz w:val="16"/>
                <w:szCs w:val="16"/>
              </w:rPr>
              <w:t xml:space="preserve">PSR 2014-2020 </w:t>
            </w:r>
            <w:r w:rsidR="00964EDC">
              <w:rPr>
                <w:rFonts w:ascii="Arial" w:hAnsi="Arial"/>
                <w:color w:val="000000"/>
                <w:sz w:val="16"/>
                <w:szCs w:val="16"/>
              </w:rPr>
              <w:t>Interventi 4.1.1 e 4.2.1</w:t>
            </w:r>
          </w:p>
        </w:tc>
      </w:tr>
      <w:tr w:rsidR="00EB028C" w:rsidTr="00623077">
        <w:trPr>
          <w:trHeight w:val="3450"/>
        </w:trPr>
        <w:tc>
          <w:tcPr>
            <w:tcW w:w="567"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7</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Contenuti dei progetti cantierabili</w:t>
            </w:r>
          </w:p>
        </w:tc>
        <w:tc>
          <w:tcPr>
            <w:tcW w:w="6237" w:type="dxa"/>
            <w:vAlign w:val="center"/>
          </w:tcPr>
          <w:p w:rsidR="00C215A9" w:rsidRDefault="00C215A9" w:rsidP="00C215A9">
            <w:pPr>
              <w:autoSpaceDE w:val="0"/>
              <w:autoSpaceDN w:val="0"/>
              <w:adjustRightInd w:val="0"/>
              <w:spacing w:before="120" w:after="16"/>
              <w:ind w:right="153"/>
              <w:jc w:val="both"/>
              <w:rPr>
                <w:rFonts w:ascii="Arial" w:hAnsi="Arial"/>
                <w:bCs/>
                <w:iCs/>
                <w:sz w:val="16"/>
                <w:szCs w:val="16"/>
              </w:rPr>
            </w:pPr>
            <w:r>
              <w:rPr>
                <w:rFonts w:ascii="Arial" w:hAnsi="Arial"/>
                <w:bCs/>
                <w:iCs/>
                <w:sz w:val="16"/>
                <w:szCs w:val="16"/>
              </w:rPr>
              <w:t xml:space="preserve">Le principali </w:t>
            </w:r>
            <w:r w:rsidR="003D781D">
              <w:rPr>
                <w:rFonts w:ascii="Arial" w:hAnsi="Arial"/>
                <w:bCs/>
                <w:iCs/>
                <w:sz w:val="16"/>
                <w:szCs w:val="16"/>
              </w:rPr>
              <w:t xml:space="preserve">tipologie di operazioni </w:t>
            </w:r>
            <w:r>
              <w:rPr>
                <w:rFonts w:ascii="Arial" w:hAnsi="Arial"/>
                <w:bCs/>
                <w:iCs/>
                <w:sz w:val="16"/>
                <w:szCs w:val="16"/>
              </w:rPr>
              <w:t xml:space="preserve">che possono beneficiare di un sostegno </w:t>
            </w:r>
            <w:r w:rsidR="003D781D">
              <w:rPr>
                <w:rFonts w:ascii="Arial" w:hAnsi="Arial"/>
                <w:bCs/>
                <w:iCs/>
                <w:sz w:val="16"/>
                <w:szCs w:val="16"/>
              </w:rPr>
              <w:t xml:space="preserve">nell’ambito delle misure di miglioramento delle prestazioni e della sostenibilità globale delle aziende agricole </w:t>
            </w:r>
            <w:r>
              <w:rPr>
                <w:rFonts w:ascii="Arial" w:hAnsi="Arial"/>
                <w:bCs/>
                <w:iCs/>
                <w:sz w:val="16"/>
                <w:szCs w:val="16"/>
              </w:rPr>
              <w:t>riguardano:</w:t>
            </w:r>
          </w:p>
          <w:p w:rsidR="003D781D" w:rsidRPr="003D781D" w:rsidRDefault="003D781D" w:rsidP="003D781D">
            <w:pPr>
              <w:pStyle w:val="Paragrafoelenco"/>
              <w:numPr>
                <w:ilvl w:val="0"/>
                <w:numId w:val="7"/>
              </w:numPr>
              <w:autoSpaceDE w:val="0"/>
              <w:autoSpaceDN w:val="0"/>
              <w:adjustRightInd w:val="0"/>
              <w:spacing w:before="120" w:after="16"/>
              <w:ind w:left="421" w:right="153" w:hanging="284"/>
              <w:jc w:val="both"/>
              <w:rPr>
                <w:rFonts w:ascii="Arial" w:hAnsi="Arial"/>
                <w:bCs/>
                <w:iCs/>
                <w:sz w:val="16"/>
                <w:szCs w:val="16"/>
              </w:rPr>
            </w:pPr>
            <w:proofErr w:type="gramStart"/>
            <w:r w:rsidRPr="003D781D">
              <w:rPr>
                <w:rFonts w:ascii="Arial" w:hAnsi="Arial"/>
                <w:bCs/>
                <w:iCs/>
                <w:sz w:val="16"/>
                <w:szCs w:val="16"/>
              </w:rPr>
              <w:t>acquisto</w:t>
            </w:r>
            <w:proofErr w:type="gramEnd"/>
            <w:r w:rsidRPr="003D781D">
              <w:rPr>
                <w:rFonts w:ascii="Arial" w:hAnsi="Arial"/>
                <w:bCs/>
                <w:iCs/>
                <w:sz w:val="16"/>
                <w:szCs w:val="16"/>
              </w:rPr>
              <w:t xml:space="preserve"> di terreni, solo se strettamente correlato alla realizzazione di uno o più investimenti tra quelli previsti dal piano aziendale e nell’ambito di una percentuale massima del 10% del volume complessivo della spesa. Tale possibilità verrà applicata in modo restrittivo al fine di evitare ogni possibile incidenza </w:t>
            </w:r>
            <w:r w:rsidR="007861E6">
              <w:rPr>
                <w:rFonts w:ascii="Arial" w:hAnsi="Arial"/>
                <w:bCs/>
                <w:iCs/>
                <w:sz w:val="16"/>
                <w:szCs w:val="16"/>
              </w:rPr>
              <w:t>sui valori fondiari dei terreni;</w:t>
            </w:r>
          </w:p>
          <w:p w:rsidR="003D781D" w:rsidRPr="003D781D" w:rsidRDefault="003D781D" w:rsidP="003D781D">
            <w:pPr>
              <w:pStyle w:val="Paragrafoelenco"/>
              <w:numPr>
                <w:ilvl w:val="0"/>
                <w:numId w:val="7"/>
              </w:numPr>
              <w:autoSpaceDE w:val="0"/>
              <w:autoSpaceDN w:val="0"/>
              <w:adjustRightInd w:val="0"/>
              <w:spacing w:before="120" w:after="16"/>
              <w:ind w:left="421" w:right="153" w:hanging="284"/>
              <w:jc w:val="both"/>
              <w:rPr>
                <w:rFonts w:ascii="Arial" w:hAnsi="Arial"/>
                <w:bCs/>
                <w:iCs/>
                <w:sz w:val="16"/>
                <w:szCs w:val="16"/>
              </w:rPr>
            </w:pPr>
            <w:proofErr w:type="gramStart"/>
            <w:r w:rsidRPr="003D781D">
              <w:rPr>
                <w:rFonts w:ascii="Arial" w:hAnsi="Arial"/>
                <w:bCs/>
                <w:iCs/>
                <w:sz w:val="16"/>
                <w:szCs w:val="16"/>
              </w:rPr>
              <w:t>acquisto</w:t>
            </w:r>
            <w:proofErr w:type="gramEnd"/>
            <w:r w:rsidRPr="003D781D">
              <w:rPr>
                <w:rFonts w:ascii="Arial" w:hAnsi="Arial"/>
                <w:bCs/>
                <w:iCs/>
                <w:sz w:val="16"/>
                <w:szCs w:val="16"/>
              </w:rPr>
              <w:t xml:space="preserve"> di fabbricati aziendali, esclusi quelli per uso abitativo, finalizzati al miglioramento delle prestazioni e sostenibilità globali dell’azienda agricola a condizione che gli stessi siano oggetto di ristrutturazione per non meno del 100% del costo dell’acquisto;</w:t>
            </w:r>
          </w:p>
          <w:p w:rsidR="003D781D" w:rsidRPr="003D781D" w:rsidRDefault="003D781D" w:rsidP="003D781D">
            <w:pPr>
              <w:pStyle w:val="Paragrafoelenco"/>
              <w:numPr>
                <w:ilvl w:val="0"/>
                <w:numId w:val="7"/>
              </w:numPr>
              <w:autoSpaceDE w:val="0"/>
              <w:autoSpaceDN w:val="0"/>
              <w:adjustRightInd w:val="0"/>
              <w:spacing w:before="120" w:after="16"/>
              <w:ind w:left="421" w:right="153" w:hanging="284"/>
              <w:jc w:val="both"/>
              <w:rPr>
                <w:rFonts w:ascii="Arial" w:hAnsi="Arial"/>
                <w:bCs/>
                <w:iCs/>
                <w:sz w:val="16"/>
                <w:szCs w:val="16"/>
              </w:rPr>
            </w:pPr>
            <w:proofErr w:type="gramStart"/>
            <w:r w:rsidRPr="003D781D">
              <w:rPr>
                <w:rFonts w:ascii="Arial" w:hAnsi="Arial"/>
                <w:bCs/>
                <w:iCs/>
                <w:sz w:val="16"/>
                <w:szCs w:val="16"/>
              </w:rPr>
              <w:t>realizzazione</w:t>
            </w:r>
            <w:proofErr w:type="gramEnd"/>
            <w:r w:rsidRPr="003D781D">
              <w:rPr>
                <w:rFonts w:ascii="Arial" w:hAnsi="Arial"/>
                <w:bCs/>
                <w:iCs/>
                <w:sz w:val="16"/>
                <w:szCs w:val="16"/>
              </w:rPr>
              <w:t xml:space="preserve"> di nuovi fabbricati o ristrutturazione di esistenti, finalizzati al miglioramento delle prestazioni e sostenibilità globali dell’azienda;</w:t>
            </w:r>
          </w:p>
          <w:p w:rsidR="003D781D" w:rsidRPr="003D781D" w:rsidRDefault="003D781D" w:rsidP="003D781D">
            <w:pPr>
              <w:pStyle w:val="Paragrafoelenco"/>
              <w:numPr>
                <w:ilvl w:val="0"/>
                <w:numId w:val="7"/>
              </w:numPr>
              <w:autoSpaceDE w:val="0"/>
              <w:autoSpaceDN w:val="0"/>
              <w:adjustRightInd w:val="0"/>
              <w:spacing w:before="120" w:after="16"/>
              <w:ind w:left="421" w:right="153" w:hanging="284"/>
              <w:jc w:val="both"/>
              <w:rPr>
                <w:rFonts w:ascii="Arial" w:hAnsi="Arial"/>
                <w:bCs/>
                <w:iCs/>
                <w:sz w:val="16"/>
                <w:szCs w:val="16"/>
              </w:rPr>
            </w:pPr>
            <w:proofErr w:type="gramStart"/>
            <w:r w:rsidRPr="003D781D">
              <w:rPr>
                <w:rFonts w:ascii="Arial" w:hAnsi="Arial"/>
                <w:bCs/>
                <w:iCs/>
                <w:sz w:val="16"/>
                <w:szCs w:val="16"/>
              </w:rPr>
              <w:t>miglioramenti</w:t>
            </w:r>
            <w:proofErr w:type="gramEnd"/>
            <w:r w:rsidRPr="003D781D">
              <w:rPr>
                <w:rFonts w:ascii="Arial" w:hAnsi="Arial"/>
                <w:bCs/>
                <w:iCs/>
                <w:sz w:val="16"/>
                <w:szCs w:val="16"/>
              </w:rPr>
              <w:t xml:space="preserve"> fondiari collegati alla produzione, alla conservazione del suolo, alla protezione delle colture e delle dotazioni aziendali, escluso il drenaggio con tubi interrati;</w:t>
            </w:r>
          </w:p>
          <w:p w:rsidR="003D781D" w:rsidRPr="003D781D" w:rsidRDefault="003D781D" w:rsidP="003D781D">
            <w:pPr>
              <w:pStyle w:val="Paragrafoelenco"/>
              <w:numPr>
                <w:ilvl w:val="0"/>
                <w:numId w:val="7"/>
              </w:numPr>
              <w:autoSpaceDE w:val="0"/>
              <w:autoSpaceDN w:val="0"/>
              <w:adjustRightInd w:val="0"/>
              <w:spacing w:before="120" w:after="16"/>
              <w:ind w:left="421" w:right="153" w:hanging="284"/>
              <w:jc w:val="both"/>
              <w:rPr>
                <w:rFonts w:ascii="Arial" w:hAnsi="Arial"/>
                <w:bCs/>
                <w:iCs/>
                <w:sz w:val="16"/>
                <w:szCs w:val="16"/>
              </w:rPr>
            </w:pPr>
            <w:proofErr w:type="gramStart"/>
            <w:r w:rsidRPr="003D781D">
              <w:rPr>
                <w:rFonts w:ascii="Arial" w:hAnsi="Arial"/>
                <w:bCs/>
                <w:iCs/>
                <w:sz w:val="16"/>
                <w:szCs w:val="16"/>
              </w:rPr>
              <w:t>dotazioni</w:t>
            </w:r>
            <w:proofErr w:type="gramEnd"/>
            <w:r w:rsidRPr="003D781D">
              <w:rPr>
                <w:rFonts w:ascii="Arial" w:hAnsi="Arial"/>
                <w:bCs/>
                <w:iCs/>
                <w:sz w:val="16"/>
                <w:szCs w:val="16"/>
              </w:rPr>
              <w:t xml:space="preserve"> aziendali (quali macchinari, attrezzature e impianti compresa quella informatica e l’impiantistica di collegamento), per la gestione/esecuzione delle operazioni collegate al ciclo colturale e di raccolta, per l'allevamento, per la trasformazione e commercializzazione dei prodotti agricoli;</w:t>
            </w:r>
          </w:p>
          <w:p w:rsidR="003D781D" w:rsidRPr="003D781D" w:rsidRDefault="003D781D" w:rsidP="003D781D">
            <w:pPr>
              <w:pStyle w:val="Paragrafoelenco"/>
              <w:numPr>
                <w:ilvl w:val="0"/>
                <w:numId w:val="7"/>
              </w:numPr>
              <w:autoSpaceDE w:val="0"/>
              <w:autoSpaceDN w:val="0"/>
              <w:adjustRightInd w:val="0"/>
              <w:spacing w:before="120" w:after="16"/>
              <w:ind w:left="421" w:right="153" w:hanging="284"/>
              <w:jc w:val="both"/>
              <w:rPr>
                <w:rFonts w:ascii="Arial" w:hAnsi="Arial"/>
                <w:bCs/>
                <w:iCs/>
                <w:sz w:val="16"/>
                <w:szCs w:val="16"/>
              </w:rPr>
            </w:pPr>
            <w:proofErr w:type="gramStart"/>
            <w:r w:rsidRPr="003D781D">
              <w:rPr>
                <w:rFonts w:ascii="Arial" w:hAnsi="Arial"/>
                <w:bCs/>
                <w:iCs/>
                <w:sz w:val="16"/>
                <w:szCs w:val="16"/>
              </w:rPr>
              <w:t>realizzazione</w:t>
            </w:r>
            <w:proofErr w:type="gramEnd"/>
            <w:r w:rsidRPr="003D781D">
              <w:rPr>
                <w:rFonts w:ascii="Arial" w:hAnsi="Arial"/>
                <w:bCs/>
                <w:iCs/>
                <w:sz w:val="16"/>
                <w:szCs w:val="16"/>
              </w:rPr>
              <w:t xml:space="preserve"> di strutture per il miglioramento dell’efficienza energetica, di impianti per la produzione di energia a partire da fonti rinnovabili, commisurati ai fabbisogni aziendali e comunque di potenza massima installabile di 1 MW </w:t>
            </w:r>
            <w:r w:rsidR="007861E6">
              <w:rPr>
                <w:rFonts w:ascii="Arial" w:hAnsi="Arial"/>
                <w:bCs/>
                <w:iCs/>
                <w:sz w:val="16"/>
                <w:szCs w:val="16"/>
              </w:rPr>
              <w:lastRenderedPageBreak/>
              <w:t>elettrico;</w:t>
            </w:r>
          </w:p>
          <w:p w:rsidR="003D781D" w:rsidRDefault="003D781D" w:rsidP="003D781D">
            <w:pPr>
              <w:pStyle w:val="Paragrafoelenco"/>
              <w:numPr>
                <w:ilvl w:val="0"/>
                <w:numId w:val="7"/>
              </w:numPr>
              <w:autoSpaceDE w:val="0"/>
              <w:autoSpaceDN w:val="0"/>
              <w:adjustRightInd w:val="0"/>
              <w:spacing w:before="120" w:after="16"/>
              <w:ind w:left="421" w:right="153" w:hanging="284"/>
              <w:jc w:val="both"/>
              <w:rPr>
                <w:rFonts w:ascii="Arial" w:hAnsi="Arial"/>
                <w:bCs/>
                <w:iCs/>
                <w:sz w:val="16"/>
                <w:szCs w:val="16"/>
              </w:rPr>
            </w:pPr>
            <w:proofErr w:type="gramStart"/>
            <w:r w:rsidRPr="003D781D">
              <w:rPr>
                <w:rFonts w:ascii="Arial" w:hAnsi="Arial"/>
                <w:bCs/>
                <w:iCs/>
                <w:sz w:val="16"/>
                <w:szCs w:val="16"/>
              </w:rPr>
              <w:t>miglioramento</w:t>
            </w:r>
            <w:proofErr w:type="gramEnd"/>
            <w:r w:rsidRPr="003D781D">
              <w:rPr>
                <w:rFonts w:ascii="Arial" w:hAnsi="Arial"/>
                <w:bCs/>
                <w:iCs/>
                <w:sz w:val="16"/>
                <w:szCs w:val="16"/>
              </w:rPr>
              <w:t xml:space="preserve"> di impianti irrigui preesistenti o realizzazione di nuovi impianti nel rispetto delle disposizioni di cui all’art. 46 del regolamento UE n. 1305/2013, senza aumento della superficie irrigua</w:t>
            </w:r>
            <w:r w:rsidR="00BE5107">
              <w:rPr>
                <w:rFonts w:ascii="Arial" w:hAnsi="Arial"/>
                <w:bCs/>
                <w:iCs/>
                <w:sz w:val="16"/>
                <w:szCs w:val="16"/>
              </w:rPr>
              <w:t>.</w:t>
            </w:r>
          </w:p>
          <w:p w:rsidR="00BE5107" w:rsidRDefault="00BE5107" w:rsidP="00BE5107">
            <w:pPr>
              <w:autoSpaceDE w:val="0"/>
              <w:autoSpaceDN w:val="0"/>
              <w:adjustRightInd w:val="0"/>
              <w:spacing w:before="120" w:after="16"/>
              <w:ind w:right="153"/>
              <w:jc w:val="both"/>
              <w:rPr>
                <w:rFonts w:ascii="Arial" w:hAnsi="Arial"/>
                <w:bCs/>
                <w:iCs/>
                <w:sz w:val="16"/>
                <w:szCs w:val="16"/>
              </w:rPr>
            </w:pPr>
            <w:r>
              <w:rPr>
                <w:rFonts w:ascii="Arial" w:hAnsi="Arial"/>
                <w:bCs/>
                <w:iCs/>
                <w:sz w:val="16"/>
                <w:szCs w:val="16"/>
              </w:rPr>
              <w:t xml:space="preserve">Interventi di questo tipo potranno essere realizzati nel contesto dell’Area Interna </w:t>
            </w:r>
            <w:proofErr w:type="spellStart"/>
            <w:r>
              <w:rPr>
                <w:rFonts w:ascii="Arial" w:hAnsi="Arial"/>
                <w:bCs/>
                <w:iCs/>
                <w:sz w:val="16"/>
                <w:szCs w:val="16"/>
              </w:rPr>
              <w:t>Valnerina</w:t>
            </w:r>
            <w:proofErr w:type="spellEnd"/>
            <w:r>
              <w:rPr>
                <w:rFonts w:ascii="Arial" w:hAnsi="Arial"/>
                <w:bCs/>
                <w:iCs/>
                <w:sz w:val="16"/>
                <w:szCs w:val="16"/>
              </w:rPr>
              <w:t xml:space="preserve"> sostenendo, a titolo esemplificativo e non esaustivo</w:t>
            </w:r>
            <w:r w:rsidR="0003717C">
              <w:rPr>
                <w:rFonts w:ascii="Arial" w:hAnsi="Arial"/>
                <w:bCs/>
                <w:iCs/>
                <w:sz w:val="16"/>
                <w:szCs w:val="16"/>
              </w:rPr>
              <w:t>, la filiera casearia</w:t>
            </w:r>
            <w:r>
              <w:rPr>
                <w:rFonts w:ascii="Arial" w:hAnsi="Arial"/>
                <w:bCs/>
                <w:iCs/>
                <w:sz w:val="16"/>
                <w:szCs w:val="16"/>
              </w:rPr>
              <w:t xml:space="preserve">, le lavorazioni del tartufo, la norcineria, gli </w:t>
            </w:r>
            <w:proofErr w:type="gramStart"/>
            <w:r>
              <w:rPr>
                <w:rFonts w:ascii="Arial" w:hAnsi="Arial"/>
                <w:bCs/>
                <w:iCs/>
                <w:sz w:val="16"/>
                <w:szCs w:val="16"/>
              </w:rPr>
              <w:t xml:space="preserve">allevamenti  </w:t>
            </w:r>
            <w:r w:rsidR="0003717C">
              <w:rPr>
                <w:rFonts w:ascii="Arial" w:hAnsi="Arial"/>
                <w:bCs/>
                <w:iCs/>
                <w:sz w:val="16"/>
                <w:szCs w:val="16"/>
              </w:rPr>
              <w:t>suinicoli</w:t>
            </w:r>
            <w:proofErr w:type="gramEnd"/>
            <w:r w:rsidR="0003717C">
              <w:rPr>
                <w:rFonts w:ascii="Arial" w:hAnsi="Arial"/>
                <w:bCs/>
                <w:iCs/>
                <w:sz w:val="16"/>
                <w:szCs w:val="16"/>
              </w:rPr>
              <w:t xml:space="preserve">, ovi-caprini, </w:t>
            </w:r>
            <w:r w:rsidRPr="00BE5107">
              <w:rPr>
                <w:rFonts w:ascii="Arial" w:hAnsi="Arial"/>
                <w:bCs/>
                <w:iCs/>
                <w:sz w:val="16"/>
                <w:szCs w:val="16"/>
              </w:rPr>
              <w:t xml:space="preserve">bovini e di ecotipi locali </w:t>
            </w:r>
            <w:r w:rsidR="0003717C">
              <w:rPr>
                <w:rFonts w:ascii="Arial" w:hAnsi="Arial"/>
                <w:bCs/>
                <w:iCs/>
                <w:sz w:val="16"/>
                <w:szCs w:val="16"/>
              </w:rPr>
              <w:t>(</w:t>
            </w:r>
            <w:r w:rsidRPr="00BE5107">
              <w:rPr>
                <w:rFonts w:ascii="Arial" w:hAnsi="Arial"/>
                <w:bCs/>
                <w:iCs/>
                <w:sz w:val="16"/>
                <w:szCs w:val="16"/>
              </w:rPr>
              <w:t>quali</w:t>
            </w:r>
            <w:r w:rsidR="0003717C">
              <w:rPr>
                <w:rFonts w:ascii="Arial" w:hAnsi="Arial"/>
                <w:bCs/>
                <w:iCs/>
                <w:sz w:val="16"/>
                <w:szCs w:val="16"/>
              </w:rPr>
              <w:t>, ad esempio,</w:t>
            </w:r>
            <w:r w:rsidRPr="00BE5107">
              <w:rPr>
                <w:rFonts w:ascii="Arial" w:hAnsi="Arial"/>
                <w:bCs/>
                <w:iCs/>
                <w:sz w:val="16"/>
                <w:szCs w:val="16"/>
              </w:rPr>
              <w:t xml:space="preserve"> la capra </w:t>
            </w:r>
            <w:proofErr w:type="spellStart"/>
            <w:r w:rsidRPr="00BE5107">
              <w:rPr>
                <w:rFonts w:ascii="Arial" w:hAnsi="Arial"/>
                <w:bCs/>
                <w:iCs/>
                <w:sz w:val="16"/>
                <w:szCs w:val="16"/>
              </w:rPr>
              <w:t>facciuta</w:t>
            </w:r>
            <w:proofErr w:type="spellEnd"/>
            <w:r w:rsidRPr="00BE5107">
              <w:rPr>
                <w:rFonts w:ascii="Arial" w:hAnsi="Arial"/>
                <w:bCs/>
                <w:iCs/>
                <w:sz w:val="16"/>
                <w:szCs w:val="16"/>
              </w:rPr>
              <w:t xml:space="preserve">, </w:t>
            </w:r>
            <w:r w:rsidR="000F073D">
              <w:rPr>
                <w:rFonts w:ascii="Arial" w:hAnsi="Arial"/>
                <w:bCs/>
                <w:iCs/>
                <w:sz w:val="16"/>
                <w:szCs w:val="16"/>
              </w:rPr>
              <w:t xml:space="preserve">la </w:t>
            </w:r>
            <w:r w:rsidRPr="00BE5107">
              <w:rPr>
                <w:rFonts w:ascii="Arial" w:hAnsi="Arial"/>
                <w:bCs/>
                <w:iCs/>
                <w:sz w:val="16"/>
                <w:szCs w:val="16"/>
              </w:rPr>
              <w:t>pecora</w:t>
            </w:r>
            <w:r w:rsidR="0003717C">
              <w:rPr>
                <w:rFonts w:ascii="Arial" w:hAnsi="Arial"/>
                <w:bCs/>
                <w:iCs/>
                <w:sz w:val="16"/>
                <w:szCs w:val="16"/>
              </w:rPr>
              <w:t xml:space="preserve"> </w:t>
            </w:r>
            <w:proofErr w:type="spellStart"/>
            <w:r w:rsidRPr="00BE5107">
              <w:rPr>
                <w:rFonts w:ascii="Arial" w:hAnsi="Arial"/>
                <w:bCs/>
                <w:iCs/>
                <w:sz w:val="16"/>
                <w:szCs w:val="16"/>
              </w:rPr>
              <w:t>sopravvissana</w:t>
            </w:r>
            <w:proofErr w:type="spellEnd"/>
            <w:r w:rsidRPr="00BE5107">
              <w:rPr>
                <w:rFonts w:ascii="Arial" w:hAnsi="Arial"/>
                <w:bCs/>
                <w:iCs/>
                <w:sz w:val="16"/>
                <w:szCs w:val="16"/>
              </w:rPr>
              <w:t xml:space="preserve"> e </w:t>
            </w:r>
            <w:r w:rsidR="000F073D">
              <w:rPr>
                <w:rFonts w:ascii="Arial" w:hAnsi="Arial"/>
                <w:bCs/>
                <w:iCs/>
                <w:sz w:val="16"/>
                <w:szCs w:val="16"/>
              </w:rPr>
              <w:t xml:space="preserve">il </w:t>
            </w:r>
            <w:r w:rsidRPr="00BE5107">
              <w:rPr>
                <w:rFonts w:ascii="Arial" w:hAnsi="Arial"/>
                <w:bCs/>
                <w:iCs/>
                <w:sz w:val="16"/>
                <w:szCs w:val="16"/>
              </w:rPr>
              <w:t xml:space="preserve">maiale </w:t>
            </w:r>
            <w:proofErr w:type="spellStart"/>
            <w:r w:rsidRPr="00BE5107">
              <w:rPr>
                <w:rFonts w:ascii="Arial" w:hAnsi="Arial"/>
                <w:bCs/>
                <w:iCs/>
                <w:sz w:val="16"/>
                <w:szCs w:val="16"/>
              </w:rPr>
              <w:t>cintarella</w:t>
            </w:r>
            <w:proofErr w:type="spellEnd"/>
            <w:r w:rsidR="0003717C">
              <w:rPr>
                <w:rFonts w:ascii="Arial" w:hAnsi="Arial"/>
                <w:bCs/>
                <w:iCs/>
                <w:sz w:val="16"/>
                <w:szCs w:val="16"/>
              </w:rPr>
              <w:t>), il settore oleario, i servizi di macellazione dei capi di bestiame.</w:t>
            </w:r>
          </w:p>
          <w:p w:rsidR="0003717C" w:rsidRDefault="0003717C" w:rsidP="00BE5107">
            <w:pPr>
              <w:autoSpaceDE w:val="0"/>
              <w:autoSpaceDN w:val="0"/>
              <w:adjustRightInd w:val="0"/>
              <w:spacing w:before="120" w:after="16"/>
              <w:ind w:right="153"/>
              <w:jc w:val="both"/>
              <w:rPr>
                <w:rFonts w:ascii="Arial" w:hAnsi="Arial"/>
                <w:bCs/>
                <w:iCs/>
                <w:sz w:val="16"/>
                <w:szCs w:val="16"/>
              </w:rPr>
            </w:pPr>
            <w:r>
              <w:rPr>
                <w:rFonts w:ascii="Arial" w:hAnsi="Arial"/>
                <w:bCs/>
                <w:iCs/>
                <w:sz w:val="16"/>
                <w:szCs w:val="16"/>
              </w:rPr>
              <w:t xml:space="preserve">Le principali tipologie di operazioni che possono beneficiare di un sostegno nell’ambito delle misure di supporto alla trasformazione, commercializzazione e/o sviluppo di </w:t>
            </w:r>
            <w:r w:rsidR="000F073D">
              <w:rPr>
                <w:rFonts w:ascii="Arial" w:hAnsi="Arial"/>
                <w:bCs/>
                <w:iCs/>
                <w:sz w:val="16"/>
                <w:szCs w:val="16"/>
              </w:rPr>
              <w:t>prodotti agricoli sono:</w:t>
            </w:r>
          </w:p>
          <w:p w:rsidR="000F073D" w:rsidRPr="008D4DD9" w:rsidRDefault="008D4DD9" w:rsidP="008D4DD9">
            <w:pPr>
              <w:pStyle w:val="Paragrafoelenco"/>
              <w:numPr>
                <w:ilvl w:val="0"/>
                <w:numId w:val="8"/>
              </w:numPr>
              <w:autoSpaceDE w:val="0"/>
              <w:autoSpaceDN w:val="0"/>
              <w:adjustRightInd w:val="0"/>
              <w:spacing w:before="120" w:after="16"/>
              <w:ind w:left="421" w:right="153" w:hanging="284"/>
              <w:jc w:val="both"/>
              <w:rPr>
                <w:rFonts w:ascii="Arial" w:hAnsi="Arial"/>
                <w:bCs/>
                <w:iCs/>
                <w:sz w:val="16"/>
                <w:szCs w:val="16"/>
              </w:rPr>
            </w:pPr>
            <w:proofErr w:type="gramStart"/>
            <w:r w:rsidRPr="008D4DD9">
              <w:rPr>
                <w:rFonts w:ascii="Arial" w:hAnsi="Arial"/>
                <w:bCs/>
                <w:iCs/>
                <w:sz w:val="16"/>
                <w:szCs w:val="16"/>
              </w:rPr>
              <w:t>investimenti</w:t>
            </w:r>
            <w:proofErr w:type="gramEnd"/>
            <w:r w:rsidRPr="008D4DD9">
              <w:rPr>
                <w:rFonts w:ascii="Arial" w:hAnsi="Arial"/>
                <w:bCs/>
                <w:iCs/>
                <w:sz w:val="16"/>
                <w:szCs w:val="16"/>
              </w:rPr>
              <w:t xml:space="preserve"> collettivi e programmi di filiera che garantiscono una maggiore efficacia degli interventi realizzati grazie all’azione coordinata di più soggetti che operano nei diversi anelli della filiera produttiva (produzione primaria, trasformazione e commercializzazione del prodotto ivi compresa la distribuzione al dettaglio fino al consumatore finale);</w:t>
            </w:r>
          </w:p>
          <w:p w:rsidR="008D4DD9" w:rsidRPr="008D4DD9" w:rsidRDefault="008D4DD9" w:rsidP="008D4DD9">
            <w:pPr>
              <w:pStyle w:val="Paragrafoelenco"/>
              <w:numPr>
                <w:ilvl w:val="0"/>
                <w:numId w:val="8"/>
              </w:numPr>
              <w:autoSpaceDE w:val="0"/>
              <w:autoSpaceDN w:val="0"/>
              <w:adjustRightInd w:val="0"/>
              <w:spacing w:before="120" w:after="16"/>
              <w:ind w:left="421" w:right="153" w:hanging="284"/>
              <w:jc w:val="both"/>
              <w:rPr>
                <w:rFonts w:ascii="Arial" w:hAnsi="Arial"/>
                <w:bCs/>
                <w:iCs/>
                <w:sz w:val="16"/>
                <w:szCs w:val="16"/>
              </w:rPr>
            </w:pPr>
            <w:proofErr w:type="gramStart"/>
            <w:r w:rsidRPr="008D4DD9">
              <w:rPr>
                <w:rFonts w:ascii="Arial" w:hAnsi="Arial"/>
                <w:bCs/>
                <w:iCs/>
                <w:sz w:val="16"/>
                <w:szCs w:val="16"/>
              </w:rPr>
              <w:t>acquisto</w:t>
            </w:r>
            <w:proofErr w:type="gramEnd"/>
            <w:r w:rsidRPr="008D4DD9">
              <w:rPr>
                <w:rFonts w:ascii="Arial" w:hAnsi="Arial"/>
                <w:bCs/>
                <w:iCs/>
                <w:sz w:val="16"/>
                <w:szCs w:val="16"/>
              </w:rPr>
              <w:t xml:space="preserve"> di fabbricati aziendali per la prima lavorazione, trasformazione e commercializzazione dei prodotti agricoli a condizione che gli stessi siano oggetto di ristrutturazione per non meno del 100% del costo dell’acquisto;</w:t>
            </w:r>
          </w:p>
          <w:p w:rsidR="008D4DD9" w:rsidRPr="008D4DD9" w:rsidRDefault="008D4DD9" w:rsidP="008D4DD9">
            <w:pPr>
              <w:pStyle w:val="Paragrafoelenco"/>
              <w:numPr>
                <w:ilvl w:val="0"/>
                <w:numId w:val="8"/>
              </w:numPr>
              <w:autoSpaceDE w:val="0"/>
              <w:autoSpaceDN w:val="0"/>
              <w:adjustRightInd w:val="0"/>
              <w:spacing w:before="120" w:after="16"/>
              <w:ind w:left="421" w:right="153" w:hanging="284"/>
              <w:jc w:val="both"/>
              <w:rPr>
                <w:rFonts w:ascii="Arial" w:hAnsi="Arial"/>
                <w:bCs/>
                <w:iCs/>
                <w:sz w:val="16"/>
                <w:szCs w:val="16"/>
              </w:rPr>
            </w:pPr>
            <w:proofErr w:type="gramStart"/>
            <w:r w:rsidRPr="008D4DD9">
              <w:rPr>
                <w:rFonts w:ascii="Arial" w:hAnsi="Arial"/>
                <w:bCs/>
                <w:iCs/>
                <w:sz w:val="16"/>
                <w:szCs w:val="16"/>
              </w:rPr>
              <w:t>costruzione</w:t>
            </w:r>
            <w:proofErr w:type="gramEnd"/>
            <w:r w:rsidRPr="008D4DD9">
              <w:rPr>
                <w:rFonts w:ascii="Arial" w:hAnsi="Arial"/>
                <w:bCs/>
                <w:iCs/>
                <w:sz w:val="16"/>
                <w:szCs w:val="16"/>
              </w:rPr>
              <w:t>, ristrutturazione e ampliamento di fabbricati per la prima lavorazione, trasformazione e commercializzazione dei prodotti agricoli;</w:t>
            </w:r>
          </w:p>
          <w:p w:rsidR="008D4DD9" w:rsidRPr="008D4DD9" w:rsidRDefault="008D4DD9" w:rsidP="008D4DD9">
            <w:pPr>
              <w:pStyle w:val="Paragrafoelenco"/>
              <w:numPr>
                <w:ilvl w:val="0"/>
                <w:numId w:val="8"/>
              </w:numPr>
              <w:autoSpaceDE w:val="0"/>
              <w:autoSpaceDN w:val="0"/>
              <w:adjustRightInd w:val="0"/>
              <w:spacing w:before="120" w:after="16"/>
              <w:ind w:left="421" w:right="153" w:hanging="284"/>
              <w:jc w:val="both"/>
              <w:rPr>
                <w:rFonts w:ascii="Arial" w:hAnsi="Arial"/>
                <w:bCs/>
                <w:iCs/>
                <w:sz w:val="16"/>
                <w:szCs w:val="16"/>
              </w:rPr>
            </w:pPr>
            <w:proofErr w:type="gramStart"/>
            <w:r w:rsidRPr="008D4DD9">
              <w:rPr>
                <w:rFonts w:ascii="Arial" w:hAnsi="Arial"/>
                <w:bCs/>
                <w:iCs/>
                <w:sz w:val="16"/>
                <w:szCs w:val="16"/>
              </w:rPr>
              <w:t>acquisto</w:t>
            </w:r>
            <w:proofErr w:type="gramEnd"/>
            <w:r w:rsidRPr="008D4DD9">
              <w:rPr>
                <w:rFonts w:ascii="Arial" w:hAnsi="Arial"/>
                <w:bCs/>
                <w:iCs/>
                <w:sz w:val="16"/>
                <w:szCs w:val="16"/>
              </w:rPr>
              <w:t xml:space="preserve"> di nuovi impianti tecnologici fissi per destinazione;</w:t>
            </w:r>
          </w:p>
          <w:p w:rsidR="008D4DD9" w:rsidRPr="008D4DD9" w:rsidRDefault="008D4DD9" w:rsidP="008D4DD9">
            <w:pPr>
              <w:pStyle w:val="Paragrafoelenco"/>
              <w:numPr>
                <w:ilvl w:val="0"/>
                <w:numId w:val="8"/>
              </w:numPr>
              <w:autoSpaceDE w:val="0"/>
              <w:autoSpaceDN w:val="0"/>
              <w:adjustRightInd w:val="0"/>
              <w:spacing w:before="120" w:after="16"/>
              <w:ind w:left="421" w:right="153" w:hanging="284"/>
              <w:jc w:val="both"/>
              <w:rPr>
                <w:rFonts w:ascii="Arial" w:hAnsi="Arial"/>
                <w:bCs/>
                <w:iCs/>
                <w:sz w:val="16"/>
                <w:szCs w:val="16"/>
              </w:rPr>
            </w:pPr>
            <w:proofErr w:type="gramStart"/>
            <w:r w:rsidRPr="008D4DD9">
              <w:rPr>
                <w:rFonts w:ascii="Arial" w:hAnsi="Arial"/>
                <w:bCs/>
                <w:iCs/>
                <w:sz w:val="16"/>
                <w:szCs w:val="16"/>
              </w:rPr>
              <w:t>realizzazione</w:t>
            </w:r>
            <w:proofErr w:type="gramEnd"/>
            <w:r w:rsidRPr="008D4DD9">
              <w:rPr>
                <w:rFonts w:ascii="Arial" w:hAnsi="Arial"/>
                <w:bCs/>
                <w:iCs/>
                <w:sz w:val="16"/>
                <w:szCs w:val="16"/>
              </w:rPr>
              <w:t xml:space="preserve"> di strutture per il miglioramento dell’efficienza energetica, di impianti per la produzione di energia a partire da fonti rinnovabili, commisurati ai fabbisogni aziendali e comunque di potenza massima installabile di 1 MW elettrico;</w:t>
            </w:r>
          </w:p>
          <w:p w:rsidR="008D4DD9" w:rsidRPr="008D4DD9" w:rsidRDefault="008D4DD9" w:rsidP="008D4DD9">
            <w:pPr>
              <w:pStyle w:val="Paragrafoelenco"/>
              <w:numPr>
                <w:ilvl w:val="0"/>
                <w:numId w:val="8"/>
              </w:numPr>
              <w:autoSpaceDE w:val="0"/>
              <w:autoSpaceDN w:val="0"/>
              <w:adjustRightInd w:val="0"/>
              <w:spacing w:before="120" w:after="16"/>
              <w:ind w:left="421" w:right="153" w:hanging="284"/>
              <w:jc w:val="both"/>
              <w:rPr>
                <w:rFonts w:ascii="Arial" w:hAnsi="Arial"/>
                <w:bCs/>
                <w:iCs/>
                <w:sz w:val="16"/>
                <w:szCs w:val="16"/>
              </w:rPr>
            </w:pPr>
            <w:proofErr w:type="gramStart"/>
            <w:r w:rsidRPr="008D4DD9">
              <w:rPr>
                <w:rFonts w:ascii="Arial" w:hAnsi="Arial"/>
                <w:bCs/>
                <w:iCs/>
                <w:sz w:val="16"/>
                <w:szCs w:val="16"/>
              </w:rPr>
              <w:t>studi</w:t>
            </w:r>
            <w:proofErr w:type="gramEnd"/>
            <w:r w:rsidRPr="008D4DD9">
              <w:rPr>
                <w:rFonts w:ascii="Arial" w:hAnsi="Arial"/>
                <w:bCs/>
                <w:iCs/>
                <w:sz w:val="16"/>
                <w:szCs w:val="16"/>
              </w:rPr>
              <w:t xml:space="preserve"> di fattibilità, onorari di professionisti e consulenti, spese tecniche e spese generali connesse ai costi di cui ai punti precedenti;</w:t>
            </w:r>
          </w:p>
          <w:p w:rsidR="008D4DD9" w:rsidRPr="008D4DD9" w:rsidRDefault="008D4DD9" w:rsidP="008D4DD9">
            <w:pPr>
              <w:pStyle w:val="Paragrafoelenco"/>
              <w:numPr>
                <w:ilvl w:val="0"/>
                <w:numId w:val="8"/>
              </w:numPr>
              <w:autoSpaceDE w:val="0"/>
              <w:autoSpaceDN w:val="0"/>
              <w:adjustRightInd w:val="0"/>
              <w:spacing w:before="120" w:after="16"/>
              <w:ind w:left="421" w:right="153" w:hanging="284"/>
              <w:jc w:val="both"/>
              <w:rPr>
                <w:rFonts w:ascii="Arial" w:hAnsi="Arial"/>
                <w:bCs/>
                <w:iCs/>
                <w:sz w:val="16"/>
                <w:szCs w:val="16"/>
              </w:rPr>
            </w:pPr>
            <w:proofErr w:type="gramStart"/>
            <w:r w:rsidRPr="008D4DD9">
              <w:rPr>
                <w:rFonts w:ascii="Arial" w:hAnsi="Arial"/>
                <w:bCs/>
                <w:iCs/>
                <w:sz w:val="16"/>
                <w:szCs w:val="16"/>
              </w:rPr>
              <w:t>acquisto</w:t>
            </w:r>
            <w:proofErr w:type="gramEnd"/>
            <w:r w:rsidRPr="008D4DD9">
              <w:rPr>
                <w:rFonts w:ascii="Arial" w:hAnsi="Arial"/>
                <w:bCs/>
                <w:iCs/>
                <w:sz w:val="16"/>
                <w:szCs w:val="16"/>
              </w:rPr>
              <w:t xml:space="preserve"> di beni immateriali quali programmi informatici compreso lo sviluppo, brevetti, licenze, diritti d’autore, marchi commerciali, sistemi di e-commerce.</w:t>
            </w:r>
          </w:p>
          <w:p w:rsidR="00EB028C" w:rsidRDefault="00472CFF" w:rsidP="004331A9">
            <w:pPr>
              <w:autoSpaceDE w:val="0"/>
              <w:autoSpaceDN w:val="0"/>
              <w:adjustRightInd w:val="0"/>
              <w:spacing w:before="120" w:after="16"/>
              <w:ind w:right="153"/>
              <w:jc w:val="both"/>
              <w:rPr>
                <w:rFonts w:ascii="Arial" w:hAnsi="Arial"/>
                <w:bCs/>
                <w:iCs/>
                <w:sz w:val="16"/>
                <w:szCs w:val="16"/>
              </w:rPr>
            </w:pPr>
            <w:r>
              <w:rPr>
                <w:rFonts w:ascii="Arial" w:hAnsi="Arial"/>
                <w:bCs/>
                <w:iCs/>
                <w:sz w:val="16"/>
                <w:szCs w:val="16"/>
              </w:rPr>
              <w:t xml:space="preserve">Interventi di questo tipo potranno essere realizzati, nel contesto dell’Area interna </w:t>
            </w:r>
            <w:proofErr w:type="spellStart"/>
            <w:r>
              <w:rPr>
                <w:rFonts w:ascii="Arial" w:hAnsi="Arial"/>
                <w:bCs/>
                <w:iCs/>
                <w:sz w:val="16"/>
                <w:szCs w:val="16"/>
              </w:rPr>
              <w:t>Valnerina</w:t>
            </w:r>
            <w:proofErr w:type="spellEnd"/>
            <w:r>
              <w:rPr>
                <w:rFonts w:ascii="Arial" w:hAnsi="Arial"/>
                <w:bCs/>
                <w:iCs/>
                <w:sz w:val="16"/>
                <w:szCs w:val="16"/>
              </w:rPr>
              <w:t xml:space="preserve">, per supportare, a titolo esemplificativo e non esaustivo, </w:t>
            </w:r>
            <w:r w:rsidR="00F928B8">
              <w:rPr>
                <w:rFonts w:ascii="Arial" w:hAnsi="Arial"/>
                <w:bCs/>
                <w:iCs/>
                <w:sz w:val="16"/>
                <w:szCs w:val="16"/>
              </w:rPr>
              <w:t xml:space="preserve">attività di valorizzazione </w:t>
            </w:r>
            <w:r w:rsidR="00BA1AFB">
              <w:rPr>
                <w:rFonts w:ascii="Arial" w:hAnsi="Arial"/>
                <w:bCs/>
                <w:iCs/>
                <w:sz w:val="16"/>
                <w:szCs w:val="16"/>
              </w:rPr>
              <w:t xml:space="preserve">del settore oleario, </w:t>
            </w:r>
            <w:r w:rsidR="00F928B8">
              <w:rPr>
                <w:rFonts w:ascii="Arial" w:hAnsi="Arial"/>
                <w:bCs/>
                <w:iCs/>
                <w:sz w:val="16"/>
                <w:szCs w:val="16"/>
              </w:rPr>
              <w:t xml:space="preserve">dei prodotti caseari, dei </w:t>
            </w:r>
            <w:r w:rsidR="00BA1AFB" w:rsidRPr="00BA1AFB">
              <w:rPr>
                <w:rFonts w:ascii="Arial" w:hAnsi="Arial"/>
                <w:bCs/>
                <w:iCs/>
                <w:sz w:val="16"/>
                <w:szCs w:val="16"/>
              </w:rPr>
              <w:t>frutti tradizionali dimenticati, quali cornioli (</w:t>
            </w:r>
            <w:proofErr w:type="spellStart"/>
            <w:r w:rsidR="00BA1AFB" w:rsidRPr="00BA1AFB">
              <w:rPr>
                <w:rFonts w:ascii="Arial" w:hAnsi="Arial"/>
                <w:bCs/>
                <w:iCs/>
                <w:sz w:val="16"/>
                <w:szCs w:val="16"/>
              </w:rPr>
              <w:t>grugnali</w:t>
            </w:r>
            <w:proofErr w:type="spellEnd"/>
            <w:r w:rsidR="00BA1AFB" w:rsidRPr="00BA1AFB">
              <w:rPr>
                <w:rFonts w:ascii="Arial" w:hAnsi="Arial"/>
                <w:bCs/>
                <w:iCs/>
                <w:sz w:val="16"/>
                <w:szCs w:val="16"/>
              </w:rPr>
              <w:t>) antiche varietà di melo e meli selvatici (</w:t>
            </w:r>
            <w:proofErr w:type="spellStart"/>
            <w:r w:rsidR="00BA1AFB" w:rsidRPr="00BA1AFB">
              <w:rPr>
                <w:rFonts w:ascii="Arial" w:hAnsi="Arial"/>
                <w:bCs/>
                <w:iCs/>
                <w:sz w:val="16"/>
                <w:szCs w:val="16"/>
              </w:rPr>
              <w:t>schianci</w:t>
            </w:r>
            <w:proofErr w:type="spellEnd"/>
            <w:r w:rsidR="00BA1AFB" w:rsidRPr="00BA1AFB">
              <w:rPr>
                <w:rFonts w:ascii="Arial" w:hAnsi="Arial"/>
                <w:bCs/>
                <w:iCs/>
                <w:sz w:val="16"/>
                <w:szCs w:val="16"/>
              </w:rPr>
              <w:t>), nespole, sorbe, peschi selvatici (</w:t>
            </w:r>
            <w:proofErr w:type="spellStart"/>
            <w:r w:rsidR="00BA1AFB" w:rsidRPr="00BA1AFB">
              <w:rPr>
                <w:rFonts w:ascii="Arial" w:hAnsi="Arial"/>
                <w:bCs/>
                <w:iCs/>
                <w:sz w:val="16"/>
                <w:szCs w:val="16"/>
              </w:rPr>
              <w:t>persichi</w:t>
            </w:r>
            <w:proofErr w:type="spellEnd"/>
            <w:r w:rsidR="00BA1AFB" w:rsidRPr="00BA1AFB">
              <w:rPr>
                <w:rFonts w:ascii="Arial" w:hAnsi="Arial"/>
                <w:bCs/>
                <w:iCs/>
                <w:sz w:val="16"/>
                <w:szCs w:val="16"/>
              </w:rPr>
              <w:t>), fichi e ghiande.</w:t>
            </w:r>
          </w:p>
          <w:p w:rsidR="004331A9" w:rsidRPr="00770055" w:rsidRDefault="004331A9" w:rsidP="004331A9">
            <w:pPr>
              <w:autoSpaceDE w:val="0"/>
              <w:autoSpaceDN w:val="0"/>
              <w:adjustRightInd w:val="0"/>
              <w:spacing w:before="120" w:after="16"/>
              <w:ind w:right="153"/>
              <w:jc w:val="both"/>
              <w:rPr>
                <w:rFonts w:ascii="Arial" w:hAnsi="Arial"/>
                <w:bCs/>
                <w:iCs/>
                <w:sz w:val="16"/>
                <w:szCs w:val="16"/>
              </w:rPr>
            </w:pPr>
          </w:p>
        </w:tc>
      </w:tr>
      <w:tr w:rsidR="00EB028C" w:rsidTr="00623077">
        <w:trPr>
          <w:trHeight w:val="2961"/>
        </w:trPr>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lastRenderedPageBreak/>
              <w:t>8</w:t>
            </w:r>
          </w:p>
        </w:tc>
        <w:tc>
          <w:tcPr>
            <w:tcW w:w="2835" w:type="dxa"/>
          </w:tcPr>
          <w:p w:rsidR="00EB028C" w:rsidRDefault="00EB028C" w:rsidP="00ED5EC1">
            <w:pPr>
              <w:spacing w:line="232" w:lineRule="auto"/>
              <w:ind w:left="113" w:right="113"/>
              <w:rPr>
                <w:rFonts w:ascii="Arial" w:eastAsia="Arial" w:hAnsi="Arial"/>
                <w:b/>
                <w:sz w:val="22"/>
              </w:rPr>
            </w:pPr>
            <w:r w:rsidRPr="00AB3D8E">
              <w:rPr>
                <w:rFonts w:ascii="Arial" w:eastAsia="Arial" w:hAnsi="Arial"/>
                <w:b/>
                <w:sz w:val="16"/>
              </w:rPr>
              <w:t>Tipologia di spesa</w:t>
            </w:r>
          </w:p>
        </w:tc>
        <w:tc>
          <w:tcPr>
            <w:tcW w:w="6237" w:type="dxa"/>
          </w:tcPr>
          <w:p w:rsidR="006867B2" w:rsidRPr="006867B2" w:rsidRDefault="00AB3D8E" w:rsidP="006867B2">
            <w:pPr>
              <w:spacing w:before="120"/>
              <w:ind w:left="45" w:right="151"/>
              <w:jc w:val="both"/>
              <w:rPr>
                <w:rFonts w:ascii="Arial" w:hAnsi="Arial"/>
                <w:bCs/>
                <w:iCs/>
                <w:sz w:val="16"/>
                <w:szCs w:val="16"/>
              </w:rPr>
            </w:pPr>
            <w:r>
              <w:rPr>
                <w:rFonts w:ascii="Arial" w:hAnsi="Arial"/>
                <w:bCs/>
                <w:iCs/>
                <w:sz w:val="16"/>
                <w:szCs w:val="16"/>
              </w:rPr>
              <w:t>Fatte salve le specifiche disposizioni relative alle spese ammissibili contenute nei singoli bandi, a</w:t>
            </w:r>
            <w:r w:rsidR="006867B2" w:rsidRPr="006867B2">
              <w:rPr>
                <w:rFonts w:ascii="Arial" w:hAnsi="Arial"/>
                <w:bCs/>
                <w:iCs/>
                <w:sz w:val="16"/>
                <w:szCs w:val="16"/>
              </w:rPr>
              <w:t>i sensi dell’art. 45 paragrafo 2 del Reg. (UE) n. 1305/2013 sono ammissibili a beneficiare del sostegno le seguenti voci di spesa:</w:t>
            </w:r>
          </w:p>
          <w:p w:rsidR="00AB3D8E" w:rsidRPr="00AB3D8E" w:rsidRDefault="006867B2" w:rsidP="00AB3D8E">
            <w:pPr>
              <w:pStyle w:val="Paragrafoelenco"/>
              <w:numPr>
                <w:ilvl w:val="0"/>
                <w:numId w:val="6"/>
              </w:numPr>
              <w:spacing w:before="120"/>
              <w:ind w:left="421" w:right="153" w:hanging="284"/>
              <w:jc w:val="both"/>
              <w:rPr>
                <w:rFonts w:ascii="Arial" w:hAnsi="Arial"/>
                <w:bCs/>
                <w:iCs/>
                <w:sz w:val="16"/>
                <w:szCs w:val="16"/>
              </w:rPr>
            </w:pPr>
            <w:proofErr w:type="gramStart"/>
            <w:r w:rsidRPr="00AB3D8E">
              <w:rPr>
                <w:rFonts w:ascii="Arial" w:hAnsi="Arial"/>
                <w:bCs/>
                <w:iCs/>
                <w:sz w:val="16"/>
                <w:szCs w:val="16"/>
              </w:rPr>
              <w:t>costruzione</w:t>
            </w:r>
            <w:proofErr w:type="gramEnd"/>
            <w:r w:rsidRPr="00AB3D8E">
              <w:rPr>
                <w:rFonts w:ascii="Arial" w:hAnsi="Arial"/>
                <w:bCs/>
                <w:iCs/>
                <w:sz w:val="16"/>
                <w:szCs w:val="16"/>
              </w:rPr>
              <w:t>, acquisizione, incluso il leasing, o miglioramento di beni immobili (terreni e fabbricati);</w:t>
            </w:r>
          </w:p>
          <w:p w:rsidR="006867B2" w:rsidRPr="00AB3D8E" w:rsidRDefault="006867B2" w:rsidP="00AB3D8E">
            <w:pPr>
              <w:pStyle w:val="Paragrafoelenco"/>
              <w:numPr>
                <w:ilvl w:val="0"/>
                <w:numId w:val="6"/>
              </w:numPr>
              <w:spacing w:before="120"/>
              <w:ind w:left="421" w:right="153" w:hanging="284"/>
              <w:jc w:val="both"/>
              <w:rPr>
                <w:rFonts w:ascii="Arial" w:hAnsi="Arial"/>
                <w:bCs/>
                <w:iCs/>
                <w:sz w:val="16"/>
                <w:szCs w:val="16"/>
              </w:rPr>
            </w:pPr>
            <w:proofErr w:type="gramStart"/>
            <w:r w:rsidRPr="00AB3D8E">
              <w:rPr>
                <w:rFonts w:ascii="Arial" w:hAnsi="Arial"/>
                <w:bCs/>
                <w:iCs/>
                <w:sz w:val="16"/>
                <w:szCs w:val="16"/>
              </w:rPr>
              <w:t>acquisto</w:t>
            </w:r>
            <w:proofErr w:type="gramEnd"/>
            <w:r w:rsidRPr="00AB3D8E">
              <w:rPr>
                <w:rFonts w:ascii="Arial" w:hAnsi="Arial"/>
                <w:bCs/>
                <w:iCs/>
                <w:sz w:val="16"/>
                <w:szCs w:val="16"/>
              </w:rPr>
              <w:t xml:space="preserve"> o leasing di nuovi macchinari e attrezzature fino a copertura del valore di mercato del bene;</w:t>
            </w:r>
          </w:p>
          <w:p w:rsidR="006867B2" w:rsidRPr="00AB3D8E" w:rsidRDefault="006867B2" w:rsidP="00AB3D8E">
            <w:pPr>
              <w:pStyle w:val="Paragrafoelenco"/>
              <w:numPr>
                <w:ilvl w:val="0"/>
                <w:numId w:val="6"/>
              </w:numPr>
              <w:spacing w:before="120"/>
              <w:ind w:left="421" w:right="153" w:hanging="284"/>
              <w:jc w:val="both"/>
              <w:rPr>
                <w:rFonts w:ascii="Arial" w:hAnsi="Arial"/>
                <w:bCs/>
                <w:iCs/>
                <w:sz w:val="16"/>
                <w:szCs w:val="16"/>
              </w:rPr>
            </w:pPr>
            <w:proofErr w:type="gramStart"/>
            <w:r w:rsidRPr="00AB3D8E">
              <w:rPr>
                <w:rFonts w:ascii="Arial" w:hAnsi="Arial"/>
                <w:bCs/>
                <w:iCs/>
                <w:sz w:val="16"/>
                <w:szCs w:val="16"/>
              </w:rPr>
              <w:t>spese</w:t>
            </w:r>
            <w:proofErr w:type="gramEnd"/>
            <w:r w:rsidRPr="00AB3D8E">
              <w:rPr>
                <w:rFonts w:ascii="Arial" w:hAnsi="Arial"/>
                <w:bCs/>
                <w:iCs/>
                <w:sz w:val="16"/>
                <w:szCs w:val="16"/>
              </w:rPr>
              <w:t xml:space="preserve"> generali collegate alle spese di cui alle lettere a) e b), come onorari di architetti, ingegneri e consulenti, compensi per consulenze in materia di sostenibilità ambientale ed economica, inclusi studi di fattibilità. Gli studi di fattibilità rimangono spese ammissibili anche quando, in base ai loro risultati, non sono effettuate spese a titolo delle lettere a) e b);</w:t>
            </w:r>
          </w:p>
          <w:p w:rsidR="006867B2" w:rsidRPr="00AB3D8E" w:rsidRDefault="006867B2" w:rsidP="00AB3D8E">
            <w:pPr>
              <w:pStyle w:val="Paragrafoelenco"/>
              <w:numPr>
                <w:ilvl w:val="0"/>
                <w:numId w:val="6"/>
              </w:numPr>
              <w:spacing w:before="120"/>
              <w:ind w:left="421" w:right="153" w:hanging="284"/>
              <w:jc w:val="both"/>
              <w:rPr>
                <w:rFonts w:ascii="Arial" w:hAnsi="Arial"/>
                <w:bCs/>
                <w:iCs/>
                <w:sz w:val="16"/>
                <w:szCs w:val="16"/>
              </w:rPr>
            </w:pPr>
            <w:proofErr w:type="gramStart"/>
            <w:r w:rsidRPr="00AB3D8E">
              <w:rPr>
                <w:rFonts w:ascii="Arial" w:hAnsi="Arial"/>
                <w:bCs/>
                <w:iCs/>
                <w:sz w:val="16"/>
                <w:szCs w:val="16"/>
              </w:rPr>
              <w:t>i</w:t>
            </w:r>
            <w:proofErr w:type="gramEnd"/>
            <w:r w:rsidRPr="00AB3D8E">
              <w:rPr>
                <w:rFonts w:ascii="Arial" w:hAnsi="Arial"/>
                <w:bCs/>
                <w:iCs/>
                <w:sz w:val="16"/>
                <w:szCs w:val="16"/>
              </w:rPr>
              <w:t xml:space="preserve"> seguenti investimenti immateriali: acquisizione o sviluppo di programmi informatici e acquisizione di brevetti, licenze, diritti d'autore, marchi commerciali;</w:t>
            </w:r>
          </w:p>
          <w:p w:rsidR="006867B2" w:rsidRPr="00AB3D8E" w:rsidRDefault="006867B2" w:rsidP="00AB3D8E">
            <w:pPr>
              <w:pStyle w:val="Paragrafoelenco"/>
              <w:numPr>
                <w:ilvl w:val="0"/>
                <w:numId w:val="6"/>
              </w:numPr>
              <w:spacing w:before="120"/>
              <w:ind w:left="421" w:right="153" w:hanging="284"/>
              <w:jc w:val="both"/>
              <w:rPr>
                <w:rFonts w:ascii="Arial" w:hAnsi="Arial"/>
                <w:bCs/>
                <w:iCs/>
                <w:sz w:val="16"/>
                <w:szCs w:val="16"/>
              </w:rPr>
            </w:pPr>
            <w:proofErr w:type="gramStart"/>
            <w:r w:rsidRPr="00AB3D8E">
              <w:rPr>
                <w:rFonts w:ascii="Arial" w:hAnsi="Arial"/>
                <w:bCs/>
                <w:iCs/>
                <w:sz w:val="16"/>
                <w:szCs w:val="16"/>
              </w:rPr>
              <w:t>i</w:t>
            </w:r>
            <w:proofErr w:type="gramEnd"/>
            <w:r w:rsidRPr="00AB3D8E">
              <w:rPr>
                <w:rFonts w:ascii="Arial" w:hAnsi="Arial"/>
                <w:bCs/>
                <w:iCs/>
                <w:sz w:val="16"/>
                <w:szCs w:val="16"/>
              </w:rPr>
              <w:t xml:space="preserve"> costi di elaborazione di piani di gestione e loro equivalenti.</w:t>
            </w:r>
          </w:p>
          <w:p w:rsidR="00EB028C" w:rsidRPr="00770055" w:rsidRDefault="00EB028C" w:rsidP="00925EAC">
            <w:pPr>
              <w:spacing w:before="120"/>
              <w:ind w:left="45" w:right="151"/>
              <w:jc w:val="both"/>
              <w:rPr>
                <w:rFonts w:ascii="Arial" w:hAnsi="Arial"/>
                <w:bCs/>
                <w:iCs/>
                <w:sz w:val="16"/>
                <w:szCs w:val="16"/>
              </w:rPr>
            </w:pPr>
          </w:p>
        </w:tc>
      </w:tr>
      <w:tr w:rsidR="00EB028C" w:rsidTr="00ED5EC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9</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Tempi di realizzazione</w:t>
            </w:r>
          </w:p>
        </w:tc>
        <w:tc>
          <w:tcPr>
            <w:tcW w:w="6237" w:type="dxa"/>
          </w:tcPr>
          <w:p w:rsidR="005563BE" w:rsidRPr="002B4307" w:rsidRDefault="00577959" w:rsidP="00ED5EC1">
            <w:pPr>
              <w:spacing w:line="232" w:lineRule="auto"/>
              <w:ind w:left="113" w:right="113"/>
              <w:rPr>
                <w:rFonts w:ascii="Arial" w:hAnsi="Arial"/>
                <w:sz w:val="16"/>
                <w:szCs w:val="16"/>
              </w:rPr>
            </w:pPr>
            <w:r w:rsidRPr="002B4307">
              <w:rPr>
                <w:rFonts w:ascii="Arial" w:hAnsi="Arial"/>
                <w:sz w:val="16"/>
                <w:szCs w:val="16"/>
              </w:rPr>
              <w:t>DATA INIZIO INTERVENTO:</w:t>
            </w:r>
            <w:r w:rsidR="002B4307" w:rsidRPr="002B4307">
              <w:rPr>
                <w:rFonts w:ascii="Arial" w:hAnsi="Arial"/>
                <w:sz w:val="16"/>
                <w:szCs w:val="16"/>
              </w:rPr>
              <w:t xml:space="preserve"> </w:t>
            </w:r>
            <w:r w:rsidR="002B4307">
              <w:rPr>
                <w:rFonts w:ascii="Arial" w:hAnsi="Arial"/>
                <w:sz w:val="16"/>
                <w:szCs w:val="16"/>
              </w:rPr>
              <w:t>01/06/2021</w:t>
            </w:r>
          </w:p>
          <w:p w:rsidR="00577959" w:rsidRDefault="00577959" w:rsidP="00ED5EC1">
            <w:pPr>
              <w:spacing w:line="232" w:lineRule="auto"/>
              <w:ind w:left="113" w:right="113"/>
              <w:rPr>
                <w:rFonts w:ascii="Arial" w:eastAsia="Arial" w:hAnsi="Arial"/>
                <w:b/>
                <w:sz w:val="22"/>
              </w:rPr>
            </w:pPr>
            <w:r w:rsidRPr="002B4307">
              <w:rPr>
                <w:rFonts w:ascii="Arial" w:hAnsi="Arial"/>
                <w:sz w:val="16"/>
                <w:szCs w:val="16"/>
              </w:rPr>
              <w:t>DATA FINE INTERVENTO:</w:t>
            </w:r>
            <w:r w:rsidR="002B4307">
              <w:rPr>
                <w:rFonts w:ascii="Arial" w:hAnsi="Arial"/>
                <w:sz w:val="16"/>
                <w:szCs w:val="16"/>
              </w:rPr>
              <w:t xml:space="preserve"> 30/06/2023</w:t>
            </w:r>
          </w:p>
        </w:tc>
      </w:tr>
      <w:tr w:rsidR="00EB028C" w:rsidTr="00ED5EC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t>10</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Indicatori di realizzazione e di risultato</w:t>
            </w:r>
          </w:p>
        </w:tc>
        <w:tc>
          <w:tcPr>
            <w:tcW w:w="6237" w:type="dxa"/>
          </w:tcPr>
          <w:p w:rsidR="00A339F9" w:rsidRPr="00577959" w:rsidRDefault="00A339F9" w:rsidP="00925EAC">
            <w:pPr>
              <w:pStyle w:val="Default"/>
              <w:ind w:left="113" w:right="113"/>
              <w:jc w:val="both"/>
              <w:rPr>
                <w:rFonts w:ascii="Arial" w:hAnsi="Arial" w:cs="Arial"/>
                <w:b/>
                <w:color w:val="auto"/>
                <w:sz w:val="16"/>
                <w:szCs w:val="16"/>
              </w:rPr>
            </w:pPr>
            <w:r w:rsidRPr="00577959">
              <w:rPr>
                <w:rFonts w:ascii="Arial" w:hAnsi="Arial" w:cs="Arial"/>
                <w:b/>
                <w:color w:val="auto"/>
                <w:sz w:val="16"/>
                <w:szCs w:val="16"/>
              </w:rPr>
              <w:t>Indicatore di realizzazione:</w:t>
            </w:r>
          </w:p>
          <w:p w:rsidR="004E0FE5" w:rsidRPr="00577959" w:rsidRDefault="00925EAC" w:rsidP="00925EAC">
            <w:pPr>
              <w:pStyle w:val="Default"/>
              <w:ind w:left="113" w:right="113"/>
              <w:jc w:val="both"/>
              <w:rPr>
                <w:rFonts w:ascii="Arial" w:hAnsi="Arial" w:cs="Arial"/>
                <w:color w:val="auto"/>
                <w:sz w:val="16"/>
                <w:szCs w:val="16"/>
              </w:rPr>
            </w:pPr>
            <w:r w:rsidRPr="00577959">
              <w:rPr>
                <w:rFonts w:ascii="Arial" w:hAnsi="Arial" w:cs="Arial"/>
                <w:color w:val="auto"/>
                <w:sz w:val="16"/>
                <w:szCs w:val="16"/>
              </w:rPr>
              <w:t xml:space="preserve">Numero di </w:t>
            </w:r>
            <w:r w:rsidR="00577959">
              <w:rPr>
                <w:rFonts w:ascii="Arial" w:hAnsi="Arial" w:cs="Arial"/>
                <w:color w:val="auto"/>
                <w:sz w:val="16"/>
                <w:szCs w:val="16"/>
              </w:rPr>
              <w:t>operazioni beneficiarie</w:t>
            </w:r>
          </w:p>
          <w:p w:rsidR="004E0FE5" w:rsidRPr="00577959" w:rsidRDefault="004E0FE5" w:rsidP="00925EAC">
            <w:pPr>
              <w:pStyle w:val="Default"/>
              <w:ind w:left="113" w:right="113"/>
              <w:jc w:val="both"/>
              <w:rPr>
                <w:rFonts w:ascii="Arial" w:hAnsi="Arial" w:cs="Arial"/>
                <w:color w:val="auto"/>
                <w:sz w:val="16"/>
                <w:szCs w:val="16"/>
              </w:rPr>
            </w:pPr>
            <w:r w:rsidRPr="00577959">
              <w:rPr>
                <w:rFonts w:ascii="Arial" w:hAnsi="Arial" w:cs="Arial"/>
                <w:color w:val="auto"/>
                <w:sz w:val="16"/>
                <w:szCs w:val="16"/>
              </w:rPr>
              <w:t>Baseline: 0</w:t>
            </w:r>
          </w:p>
          <w:p w:rsidR="00EB028C" w:rsidRPr="00577959" w:rsidRDefault="00925EAC" w:rsidP="00925EAC">
            <w:pPr>
              <w:pStyle w:val="Default"/>
              <w:ind w:left="113" w:right="113"/>
              <w:jc w:val="both"/>
              <w:rPr>
                <w:rFonts w:ascii="Arial" w:hAnsi="Arial" w:cs="Arial"/>
                <w:color w:val="auto"/>
                <w:sz w:val="16"/>
                <w:szCs w:val="16"/>
              </w:rPr>
            </w:pPr>
            <w:r w:rsidRPr="00577959">
              <w:rPr>
                <w:rFonts w:ascii="Arial" w:hAnsi="Arial" w:cs="Arial"/>
                <w:color w:val="auto"/>
                <w:sz w:val="16"/>
                <w:szCs w:val="16"/>
              </w:rPr>
              <w:t>Target: 5</w:t>
            </w:r>
          </w:p>
          <w:p w:rsidR="004E0FE5" w:rsidRPr="00577959" w:rsidRDefault="004E0FE5" w:rsidP="00925EAC">
            <w:pPr>
              <w:pStyle w:val="Default"/>
              <w:ind w:left="113" w:right="113"/>
              <w:jc w:val="both"/>
              <w:rPr>
                <w:rFonts w:ascii="Arial" w:hAnsi="Arial" w:cs="Arial"/>
                <w:color w:val="auto"/>
                <w:sz w:val="16"/>
                <w:szCs w:val="16"/>
              </w:rPr>
            </w:pPr>
            <w:r w:rsidRPr="00577959">
              <w:rPr>
                <w:rFonts w:ascii="Arial" w:hAnsi="Arial" w:cs="Arial"/>
                <w:color w:val="auto"/>
                <w:sz w:val="16"/>
                <w:szCs w:val="16"/>
              </w:rPr>
              <w:t xml:space="preserve">Fonte dati: </w:t>
            </w:r>
            <w:r w:rsidR="00925EAC" w:rsidRPr="00577959">
              <w:rPr>
                <w:rFonts w:ascii="Arial" w:hAnsi="Arial" w:cs="Arial"/>
                <w:color w:val="auto"/>
                <w:sz w:val="16"/>
                <w:szCs w:val="16"/>
              </w:rPr>
              <w:t xml:space="preserve">GAL Valle Umbra e Sibillini </w:t>
            </w:r>
          </w:p>
          <w:p w:rsidR="004E0FE5" w:rsidRPr="00245888" w:rsidRDefault="004E0FE5" w:rsidP="00925EAC">
            <w:pPr>
              <w:pStyle w:val="Default"/>
              <w:ind w:left="113" w:right="113"/>
              <w:jc w:val="both"/>
              <w:rPr>
                <w:rFonts w:ascii="Arial" w:hAnsi="Arial" w:cs="Arial"/>
                <w:b/>
                <w:color w:val="FF0000"/>
                <w:sz w:val="16"/>
                <w:szCs w:val="16"/>
              </w:rPr>
            </w:pPr>
          </w:p>
          <w:p w:rsidR="004E0FE5" w:rsidRPr="002B4307" w:rsidRDefault="004E0FE5" w:rsidP="00925EAC">
            <w:pPr>
              <w:pStyle w:val="Default"/>
              <w:ind w:left="113" w:right="113"/>
              <w:jc w:val="both"/>
              <w:rPr>
                <w:rFonts w:ascii="Arial" w:hAnsi="Arial" w:cs="Arial"/>
                <w:b/>
                <w:color w:val="auto"/>
                <w:sz w:val="16"/>
                <w:szCs w:val="16"/>
              </w:rPr>
            </w:pPr>
            <w:r w:rsidRPr="002B4307">
              <w:rPr>
                <w:rFonts w:ascii="Arial" w:hAnsi="Arial" w:cs="Arial"/>
                <w:b/>
                <w:color w:val="auto"/>
                <w:sz w:val="16"/>
                <w:szCs w:val="16"/>
              </w:rPr>
              <w:t>Indicatore di risultato:</w:t>
            </w:r>
          </w:p>
          <w:p w:rsidR="00577959" w:rsidRPr="002B4307" w:rsidRDefault="00331F00" w:rsidP="00925EAC">
            <w:pPr>
              <w:pStyle w:val="Default"/>
              <w:ind w:left="113" w:right="113"/>
              <w:jc w:val="both"/>
              <w:rPr>
                <w:rFonts w:ascii="Arial" w:hAnsi="Arial" w:cs="Arial"/>
                <w:color w:val="auto"/>
                <w:sz w:val="16"/>
                <w:szCs w:val="16"/>
              </w:rPr>
            </w:pPr>
            <w:r w:rsidRPr="002B4307">
              <w:rPr>
                <w:rFonts w:ascii="Arial" w:hAnsi="Arial" w:cs="Arial"/>
                <w:color w:val="auto"/>
                <w:sz w:val="16"/>
                <w:szCs w:val="16"/>
              </w:rPr>
              <w:t>(ID</w:t>
            </w:r>
            <w:r w:rsidR="00925EAC" w:rsidRPr="002B4307">
              <w:rPr>
                <w:rFonts w:ascii="Arial" w:hAnsi="Arial" w:cs="Arial"/>
                <w:color w:val="auto"/>
                <w:sz w:val="16"/>
                <w:szCs w:val="16"/>
              </w:rPr>
              <w:t xml:space="preserve"> 6063</w:t>
            </w:r>
            <w:r w:rsidRPr="002B4307">
              <w:rPr>
                <w:rFonts w:ascii="Arial" w:hAnsi="Arial" w:cs="Arial"/>
                <w:color w:val="auto"/>
                <w:sz w:val="16"/>
                <w:szCs w:val="16"/>
              </w:rPr>
              <w:t xml:space="preserve">) </w:t>
            </w:r>
            <w:r w:rsidR="00925EAC" w:rsidRPr="002B4307">
              <w:rPr>
                <w:rFonts w:ascii="Arial" w:hAnsi="Arial" w:cs="Arial"/>
                <w:color w:val="auto"/>
                <w:sz w:val="16"/>
                <w:szCs w:val="16"/>
              </w:rPr>
              <w:t xml:space="preserve">Indice di specializzazione nelle filiere agroalimentari. </w:t>
            </w:r>
          </w:p>
          <w:p w:rsidR="004E0FE5" w:rsidRPr="002B4307" w:rsidRDefault="00925EAC" w:rsidP="00925EAC">
            <w:pPr>
              <w:pStyle w:val="Default"/>
              <w:ind w:left="113" w:right="113"/>
              <w:jc w:val="both"/>
              <w:rPr>
                <w:rFonts w:ascii="Arial" w:hAnsi="Arial" w:cs="Arial"/>
                <w:color w:val="auto"/>
                <w:sz w:val="16"/>
                <w:szCs w:val="16"/>
              </w:rPr>
            </w:pPr>
            <w:r w:rsidRPr="002B4307">
              <w:rPr>
                <w:rFonts w:ascii="Arial" w:hAnsi="Arial" w:cs="Arial"/>
                <w:color w:val="auto"/>
                <w:sz w:val="16"/>
                <w:szCs w:val="16"/>
              </w:rPr>
              <w:t>Numero di addetti dell'area nelle filiere agroalimentari sul totale degli addetti dell'area / Numero di addetti della regione nelle filiere agroalimentari sul totale degli addetti della Regione</w:t>
            </w:r>
          </w:p>
          <w:p w:rsidR="00331F00" w:rsidRPr="002B4307" w:rsidRDefault="00331F00" w:rsidP="00925EAC">
            <w:pPr>
              <w:pStyle w:val="Default"/>
              <w:ind w:left="113" w:right="113"/>
              <w:jc w:val="both"/>
              <w:rPr>
                <w:rFonts w:ascii="Arial" w:hAnsi="Arial" w:cs="Arial"/>
                <w:color w:val="auto"/>
                <w:sz w:val="16"/>
                <w:szCs w:val="16"/>
              </w:rPr>
            </w:pPr>
            <w:r w:rsidRPr="002B4307">
              <w:rPr>
                <w:rFonts w:ascii="Arial" w:hAnsi="Arial" w:cs="Arial"/>
                <w:color w:val="auto"/>
                <w:sz w:val="16"/>
                <w:szCs w:val="16"/>
              </w:rPr>
              <w:t xml:space="preserve">Baseline: </w:t>
            </w:r>
            <w:r w:rsidR="00D66EA9" w:rsidRPr="002B4307">
              <w:rPr>
                <w:rFonts w:ascii="Arial" w:hAnsi="Arial" w:cs="Arial"/>
                <w:color w:val="auto"/>
                <w:sz w:val="16"/>
                <w:szCs w:val="16"/>
              </w:rPr>
              <w:t>-</w:t>
            </w:r>
          </w:p>
          <w:p w:rsidR="00331F00" w:rsidRPr="002B4307" w:rsidRDefault="00331F00" w:rsidP="00925EAC">
            <w:pPr>
              <w:pStyle w:val="Default"/>
              <w:ind w:left="113" w:right="113"/>
              <w:jc w:val="both"/>
              <w:rPr>
                <w:rFonts w:ascii="Arial" w:hAnsi="Arial" w:cs="Arial"/>
                <w:color w:val="auto"/>
                <w:sz w:val="16"/>
                <w:szCs w:val="16"/>
              </w:rPr>
            </w:pPr>
            <w:r w:rsidRPr="002B4307">
              <w:rPr>
                <w:rFonts w:ascii="Arial" w:hAnsi="Arial" w:cs="Arial"/>
                <w:color w:val="auto"/>
                <w:sz w:val="16"/>
                <w:szCs w:val="16"/>
              </w:rPr>
              <w:t xml:space="preserve">Target: </w:t>
            </w:r>
            <w:r w:rsidR="00D66EA9" w:rsidRPr="002B4307">
              <w:rPr>
                <w:rFonts w:ascii="Arial" w:hAnsi="Arial" w:cs="Arial"/>
                <w:color w:val="auto"/>
                <w:sz w:val="16"/>
                <w:szCs w:val="16"/>
              </w:rPr>
              <w:t>+10%</w:t>
            </w:r>
          </w:p>
          <w:p w:rsidR="004E0FE5" w:rsidRPr="002B4307" w:rsidRDefault="00D66EA9" w:rsidP="00925EAC">
            <w:pPr>
              <w:pStyle w:val="Default"/>
              <w:ind w:left="113" w:right="113"/>
              <w:jc w:val="both"/>
              <w:rPr>
                <w:rFonts w:ascii="Arial" w:hAnsi="Arial" w:cs="Arial"/>
                <w:color w:val="auto"/>
                <w:sz w:val="16"/>
                <w:szCs w:val="16"/>
              </w:rPr>
            </w:pPr>
            <w:r w:rsidRPr="002B4307">
              <w:rPr>
                <w:rFonts w:ascii="Arial" w:hAnsi="Arial" w:cs="Arial"/>
                <w:color w:val="auto"/>
                <w:sz w:val="16"/>
                <w:szCs w:val="16"/>
              </w:rPr>
              <w:t xml:space="preserve">Fonte dati: </w:t>
            </w:r>
            <w:r w:rsidR="00925EAC" w:rsidRPr="002B4307">
              <w:rPr>
                <w:rFonts w:ascii="Arial" w:hAnsi="Arial" w:cs="Arial"/>
                <w:color w:val="auto"/>
                <w:sz w:val="16"/>
                <w:szCs w:val="16"/>
              </w:rPr>
              <w:t>ISTAT</w:t>
            </w:r>
          </w:p>
          <w:p w:rsidR="002A6A95" w:rsidRDefault="002A6A95" w:rsidP="002A6A95">
            <w:pPr>
              <w:pStyle w:val="Default"/>
              <w:ind w:left="113" w:right="113"/>
              <w:rPr>
                <w:rFonts w:ascii="Arial" w:eastAsia="Arial" w:hAnsi="Arial"/>
                <w:b/>
                <w:sz w:val="22"/>
              </w:rPr>
            </w:pPr>
          </w:p>
        </w:tc>
      </w:tr>
      <w:tr w:rsidR="00EB028C" w:rsidTr="00ED5EC1">
        <w:tc>
          <w:tcPr>
            <w:tcW w:w="567" w:type="dxa"/>
          </w:tcPr>
          <w:p w:rsidR="00EB028C" w:rsidRPr="0027769D" w:rsidRDefault="00EB028C" w:rsidP="00ED5EC1">
            <w:pPr>
              <w:spacing w:line="232" w:lineRule="auto"/>
              <w:ind w:left="113" w:right="113"/>
              <w:rPr>
                <w:rFonts w:ascii="Arial" w:eastAsia="Arial" w:hAnsi="Arial"/>
                <w:b/>
                <w:sz w:val="16"/>
              </w:rPr>
            </w:pPr>
            <w:r w:rsidRPr="0027769D">
              <w:rPr>
                <w:rFonts w:ascii="Arial" w:eastAsia="Arial" w:hAnsi="Arial"/>
                <w:b/>
                <w:sz w:val="16"/>
              </w:rPr>
              <w:lastRenderedPageBreak/>
              <w:t>11</w:t>
            </w:r>
          </w:p>
        </w:tc>
        <w:tc>
          <w:tcPr>
            <w:tcW w:w="2835" w:type="dxa"/>
          </w:tcPr>
          <w:p w:rsidR="00EB028C" w:rsidRDefault="00EB028C" w:rsidP="00ED5EC1">
            <w:pPr>
              <w:spacing w:line="232" w:lineRule="auto"/>
              <w:ind w:left="113" w:right="113"/>
              <w:rPr>
                <w:rFonts w:ascii="Arial" w:eastAsia="Arial" w:hAnsi="Arial"/>
                <w:b/>
                <w:sz w:val="22"/>
              </w:rPr>
            </w:pPr>
            <w:r>
              <w:rPr>
                <w:rFonts w:ascii="Arial" w:eastAsia="Arial" w:hAnsi="Arial"/>
                <w:b/>
                <w:sz w:val="16"/>
              </w:rPr>
              <w:t>Soggetto gestore del bando</w:t>
            </w:r>
          </w:p>
        </w:tc>
        <w:tc>
          <w:tcPr>
            <w:tcW w:w="6237" w:type="dxa"/>
          </w:tcPr>
          <w:p w:rsidR="00EB028C" w:rsidRPr="005247ED" w:rsidRDefault="00CE46C5" w:rsidP="00577959">
            <w:pPr>
              <w:spacing w:line="232" w:lineRule="auto"/>
              <w:ind w:left="113" w:right="113"/>
              <w:rPr>
                <w:rFonts w:ascii="Arial" w:eastAsia="Arial" w:hAnsi="Arial"/>
                <w:sz w:val="16"/>
                <w:szCs w:val="16"/>
              </w:rPr>
            </w:pPr>
            <w:r>
              <w:rPr>
                <w:rFonts w:ascii="Arial" w:eastAsia="Arial" w:hAnsi="Arial"/>
                <w:sz w:val="16"/>
                <w:szCs w:val="16"/>
              </w:rPr>
              <w:t xml:space="preserve">Direttore </w:t>
            </w:r>
            <w:r w:rsidR="00D20591">
              <w:rPr>
                <w:rFonts w:ascii="Arial" w:eastAsia="Arial" w:hAnsi="Arial"/>
                <w:sz w:val="16"/>
                <w:szCs w:val="16"/>
              </w:rPr>
              <w:t xml:space="preserve">pro-tempore </w:t>
            </w:r>
            <w:bookmarkStart w:id="0" w:name="_GoBack"/>
            <w:bookmarkEnd w:id="0"/>
            <w:r>
              <w:rPr>
                <w:rFonts w:ascii="Arial" w:eastAsia="Arial" w:hAnsi="Arial"/>
                <w:sz w:val="16"/>
                <w:szCs w:val="16"/>
              </w:rPr>
              <w:t xml:space="preserve">del </w:t>
            </w:r>
            <w:r w:rsidR="005247ED" w:rsidRPr="00577959">
              <w:rPr>
                <w:rFonts w:ascii="Arial" w:eastAsia="Arial" w:hAnsi="Arial"/>
                <w:sz w:val="16"/>
                <w:szCs w:val="16"/>
              </w:rPr>
              <w:t xml:space="preserve">GAL Valle Umbra e Sibillini </w:t>
            </w:r>
          </w:p>
        </w:tc>
      </w:tr>
    </w:tbl>
    <w:p w:rsidR="00275B7F" w:rsidRDefault="00D20591" w:rsidP="00EA1398"/>
    <w:sectPr w:rsidR="00275B7F" w:rsidSect="00002E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250CC4A"/>
    <w:multiLevelType w:val="hybridMultilevel"/>
    <w:tmpl w:val="A9C279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6B6E57"/>
    <w:multiLevelType w:val="hybridMultilevel"/>
    <w:tmpl w:val="78C237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3183DFB"/>
    <w:multiLevelType w:val="hybridMultilevel"/>
    <w:tmpl w:val="FD6847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3B1E98"/>
    <w:multiLevelType w:val="hybridMultilevel"/>
    <w:tmpl w:val="BAF24C26"/>
    <w:lvl w:ilvl="0" w:tplc="04100001">
      <w:start w:val="1"/>
      <w:numFmt w:val="bullet"/>
      <w:lvlText w:val=""/>
      <w:lvlJc w:val="left"/>
      <w:pPr>
        <w:ind w:left="852" w:hanging="360"/>
      </w:pPr>
      <w:rPr>
        <w:rFonts w:ascii="Symbol" w:hAnsi="Symbol" w:hint="default"/>
      </w:rPr>
    </w:lvl>
    <w:lvl w:ilvl="1" w:tplc="04100003" w:tentative="1">
      <w:start w:val="1"/>
      <w:numFmt w:val="bullet"/>
      <w:lvlText w:val="o"/>
      <w:lvlJc w:val="left"/>
      <w:pPr>
        <w:ind w:left="1572" w:hanging="360"/>
      </w:pPr>
      <w:rPr>
        <w:rFonts w:ascii="Courier New" w:hAnsi="Courier New" w:cs="Courier New" w:hint="default"/>
      </w:rPr>
    </w:lvl>
    <w:lvl w:ilvl="2" w:tplc="04100005" w:tentative="1">
      <w:start w:val="1"/>
      <w:numFmt w:val="bullet"/>
      <w:lvlText w:val=""/>
      <w:lvlJc w:val="left"/>
      <w:pPr>
        <w:ind w:left="2292" w:hanging="360"/>
      </w:pPr>
      <w:rPr>
        <w:rFonts w:ascii="Wingdings" w:hAnsi="Wingdings" w:hint="default"/>
      </w:rPr>
    </w:lvl>
    <w:lvl w:ilvl="3" w:tplc="04100001" w:tentative="1">
      <w:start w:val="1"/>
      <w:numFmt w:val="bullet"/>
      <w:lvlText w:val=""/>
      <w:lvlJc w:val="left"/>
      <w:pPr>
        <w:ind w:left="3012" w:hanging="360"/>
      </w:pPr>
      <w:rPr>
        <w:rFonts w:ascii="Symbol" w:hAnsi="Symbol" w:hint="default"/>
      </w:rPr>
    </w:lvl>
    <w:lvl w:ilvl="4" w:tplc="04100003" w:tentative="1">
      <w:start w:val="1"/>
      <w:numFmt w:val="bullet"/>
      <w:lvlText w:val="o"/>
      <w:lvlJc w:val="left"/>
      <w:pPr>
        <w:ind w:left="3732" w:hanging="360"/>
      </w:pPr>
      <w:rPr>
        <w:rFonts w:ascii="Courier New" w:hAnsi="Courier New" w:cs="Courier New" w:hint="default"/>
      </w:rPr>
    </w:lvl>
    <w:lvl w:ilvl="5" w:tplc="04100005" w:tentative="1">
      <w:start w:val="1"/>
      <w:numFmt w:val="bullet"/>
      <w:lvlText w:val=""/>
      <w:lvlJc w:val="left"/>
      <w:pPr>
        <w:ind w:left="4452" w:hanging="360"/>
      </w:pPr>
      <w:rPr>
        <w:rFonts w:ascii="Wingdings" w:hAnsi="Wingdings" w:hint="default"/>
      </w:rPr>
    </w:lvl>
    <w:lvl w:ilvl="6" w:tplc="04100001" w:tentative="1">
      <w:start w:val="1"/>
      <w:numFmt w:val="bullet"/>
      <w:lvlText w:val=""/>
      <w:lvlJc w:val="left"/>
      <w:pPr>
        <w:ind w:left="5172" w:hanging="360"/>
      </w:pPr>
      <w:rPr>
        <w:rFonts w:ascii="Symbol" w:hAnsi="Symbol" w:hint="default"/>
      </w:rPr>
    </w:lvl>
    <w:lvl w:ilvl="7" w:tplc="04100003" w:tentative="1">
      <w:start w:val="1"/>
      <w:numFmt w:val="bullet"/>
      <w:lvlText w:val="o"/>
      <w:lvlJc w:val="left"/>
      <w:pPr>
        <w:ind w:left="5892" w:hanging="360"/>
      </w:pPr>
      <w:rPr>
        <w:rFonts w:ascii="Courier New" w:hAnsi="Courier New" w:cs="Courier New" w:hint="default"/>
      </w:rPr>
    </w:lvl>
    <w:lvl w:ilvl="8" w:tplc="04100005" w:tentative="1">
      <w:start w:val="1"/>
      <w:numFmt w:val="bullet"/>
      <w:lvlText w:val=""/>
      <w:lvlJc w:val="left"/>
      <w:pPr>
        <w:ind w:left="6612" w:hanging="360"/>
      </w:pPr>
      <w:rPr>
        <w:rFonts w:ascii="Wingdings" w:hAnsi="Wingdings" w:hint="default"/>
      </w:rPr>
    </w:lvl>
  </w:abstractNum>
  <w:abstractNum w:abstractNumId="4">
    <w:nsid w:val="38A6709C"/>
    <w:multiLevelType w:val="hybridMultilevel"/>
    <w:tmpl w:val="BB5C6276"/>
    <w:lvl w:ilvl="0" w:tplc="04100017">
      <w:start w:val="1"/>
      <w:numFmt w:val="lowerLetter"/>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nsid w:val="4B9D113D"/>
    <w:multiLevelType w:val="hybridMultilevel"/>
    <w:tmpl w:val="0BAC047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nsid w:val="61BE762C"/>
    <w:multiLevelType w:val="hybridMultilevel"/>
    <w:tmpl w:val="FE28E6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0291399"/>
    <w:multiLevelType w:val="hybridMultilevel"/>
    <w:tmpl w:val="29446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5"/>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54F"/>
    <w:rsid w:val="00000315"/>
    <w:rsid w:val="00002EDF"/>
    <w:rsid w:val="0003717C"/>
    <w:rsid w:val="000A0DE9"/>
    <w:rsid w:val="000F073D"/>
    <w:rsid w:val="00133EC8"/>
    <w:rsid w:val="001812DC"/>
    <w:rsid w:val="00185C0D"/>
    <w:rsid w:val="001A5A20"/>
    <w:rsid w:val="001E7C32"/>
    <w:rsid w:val="00214E30"/>
    <w:rsid w:val="00245888"/>
    <w:rsid w:val="002A6A95"/>
    <w:rsid w:val="002B4307"/>
    <w:rsid w:val="00331F00"/>
    <w:rsid w:val="003D781D"/>
    <w:rsid w:val="00403DC4"/>
    <w:rsid w:val="004331A9"/>
    <w:rsid w:val="00467EAD"/>
    <w:rsid w:val="00472CFF"/>
    <w:rsid w:val="004C1C52"/>
    <w:rsid w:val="004E0FE5"/>
    <w:rsid w:val="005247ED"/>
    <w:rsid w:val="005563BE"/>
    <w:rsid w:val="0057754F"/>
    <w:rsid w:val="00577959"/>
    <w:rsid w:val="00623077"/>
    <w:rsid w:val="006867B2"/>
    <w:rsid w:val="006F45CD"/>
    <w:rsid w:val="0070340A"/>
    <w:rsid w:val="00705D5A"/>
    <w:rsid w:val="00711A39"/>
    <w:rsid w:val="007229FB"/>
    <w:rsid w:val="007345FD"/>
    <w:rsid w:val="00770055"/>
    <w:rsid w:val="007861E6"/>
    <w:rsid w:val="00787140"/>
    <w:rsid w:val="007F7577"/>
    <w:rsid w:val="0084176D"/>
    <w:rsid w:val="008A03A4"/>
    <w:rsid w:val="008B6440"/>
    <w:rsid w:val="008D4DD9"/>
    <w:rsid w:val="00925EAC"/>
    <w:rsid w:val="009519B8"/>
    <w:rsid w:val="00964EDC"/>
    <w:rsid w:val="00991E4C"/>
    <w:rsid w:val="009920C4"/>
    <w:rsid w:val="00A1303A"/>
    <w:rsid w:val="00A339F9"/>
    <w:rsid w:val="00A74E03"/>
    <w:rsid w:val="00A75130"/>
    <w:rsid w:val="00A9691A"/>
    <w:rsid w:val="00AB3D8E"/>
    <w:rsid w:val="00AC5987"/>
    <w:rsid w:val="00B25C60"/>
    <w:rsid w:val="00B64753"/>
    <w:rsid w:val="00BA1AFB"/>
    <w:rsid w:val="00BC1E62"/>
    <w:rsid w:val="00BD49C3"/>
    <w:rsid w:val="00BE5107"/>
    <w:rsid w:val="00BF1082"/>
    <w:rsid w:val="00BF5EA5"/>
    <w:rsid w:val="00C215A9"/>
    <w:rsid w:val="00C27D39"/>
    <w:rsid w:val="00C31E49"/>
    <w:rsid w:val="00CE46C5"/>
    <w:rsid w:val="00D20591"/>
    <w:rsid w:val="00D24191"/>
    <w:rsid w:val="00D66EA9"/>
    <w:rsid w:val="00E214C1"/>
    <w:rsid w:val="00E22D2C"/>
    <w:rsid w:val="00E33B91"/>
    <w:rsid w:val="00EA1398"/>
    <w:rsid w:val="00EA197D"/>
    <w:rsid w:val="00EB028C"/>
    <w:rsid w:val="00EB2A94"/>
    <w:rsid w:val="00F42832"/>
    <w:rsid w:val="00F928B8"/>
    <w:rsid w:val="00FC39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50A3A6-022D-4256-824C-0D30A7FD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028C"/>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autoRedefine/>
    <w:uiPriority w:val="9"/>
    <w:qFormat/>
    <w:rsid w:val="00EB028C"/>
    <w:pPr>
      <w:keepNext/>
      <w:spacing w:before="240" w:after="60"/>
      <w:outlineLvl w:val="0"/>
    </w:pPr>
    <w:rPr>
      <w:rFonts w:ascii="Arial" w:eastAsia="Times New Roman" w:hAnsi="Arial" w:cs="Times New Roman"/>
      <w:b/>
      <w:bCs/>
      <w:kern w:val="32"/>
      <w:sz w:val="2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B028C"/>
    <w:rPr>
      <w:rFonts w:ascii="Arial" w:eastAsia="Times New Roman" w:hAnsi="Arial" w:cs="Times New Roman"/>
      <w:b/>
      <w:bCs/>
      <w:kern w:val="32"/>
      <w:szCs w:val="32"/>
      <w:lang w:eastAsia="it-IT"/>
    </w:rPr>
  </w:style>
  <w:style w:type="table" w:styleId="Grigliatabella">
    <w:name w:val="Table Grid"/>
    <w:basedOn w:val="Tabellanormale"/>
    <w:uiPriority w:val="59"/>
    <w:rsid w:val="00EB028C"/>
    <w:pPr>
      <w:spacing w:after="0" w:line="240" w:lineRule="auto"/>
    </w:pPr>
    <w:rPr>
      <w:rFonts w:ascii="Calibri" w:eastAsia="Calibri" w:hAnsi="Calibri" w:cs="Arial"/>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7345FD"/>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7F7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978</TotalTime>
  <Pages>3</Pages>
  <Words>1415</Words>
  <Characters>8067</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Moretti</dc:creator>
  <cp:keywords/>
  <dc:description/>
  <cp:lastModifiedBy>Cecilia Moretti</cp:lastModifiedBy>
  <cp:revision>42</cp:revision>
  <dcterms:created xsi:type="dcterms:W3CDTF">2019-08-02T08:33:00Z</dcterms:created>
  <dcterms:modified xsi:type="dcterms:W3CDTF">2020-11-05T07:48:00Z</dcterms:modified>
</cp:coreProperties>
</file>